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left="420" w:firstLine="420"/>
        <w:jc w:val="both"/>
        <w:spacing w:before="120" w:after="120" w:line="360" w:lineRule="auto"/>
        <w:rPr>
          <w:rFonts w:ascii="Arial" w:hAnsi="Arial"/>
          <w:b/>
          <w:bCs/>
          <w:sz w:val="32"/>
          <w:szCs w:val="24"/>
        </w:rPr>
      </w:pPr>
      <w:r>
        <w:rPr>
          <w:rFonts w:hint="eastAsia" w:ascii="Arial" w:hAnsi="Arial"/>
          <w:b/>
          <w:bCs/>
          <w:sz w:val="32"/>
          <w:szCs w:val="24"/>
        </w:rPr>
        <w:t xml:space="preserve">项目名称：高邮市自然资源和规划局关于高邮市2025年度国土变更调查及日常变更项目</w:t>
      </w:r>
      <w:r/>
    </w:p>
    <w:p>
      <w:pPr>
        <w:ind w:left="420" w:firstLine="420"/>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lang w:eastAsia="zh-CN"/>
        </w:rPr>
        <w:t xml:space="preserve">：</w:t>
      </w:r>
      <w:r>
        <w:rPr>
          <w:rFonts w:hint="eastAsia" w:ascii="Arial" w:hAnsi="Arial"/>
          <w:b/>
          <w:bCs/>
          <w:sz w:val="32"/>
          <w:szCs w:val="24"/>
          <w:lang w:eastAsia="zh-CN"/>
        </w:rPr>
        <w:t xml:space="preserve">JSZC-321084-JZCG-C2026-0004</w:t>
      </w:r>
      <w:r>
        <w:rPr>
          <w:rFonts w:ascii="Arial" w:hAnsi="Arial"/>
          <w:b/>
          <w:bCs/>
          <w:sz w:val="32"/>
          <w:szCs w:val="24"/>
        </w:rPr>
        <w:t xml:space="preserve">   </w:t>
      </w:r>
      <w:r/>
    </w:p>
    <w:p>
      <w:pPr>
        <w:ind w:left="2811" w:hanging="2811"/>
        <w:jc w:val="center"/>
        <w:rPr>
          <w:b/>
          <w:color w:val="ff0000"/>
          <w:sz w:val="28"/>
          <w:szCs w:val="28"/>
        </w:rPr>
      </w:pPr>
      <w:r>
        <w:rPr>
          <w:b/>
          <w:color w:val="ff0000"/>
          <w:sz w:val="28"/>
          <w:szCs w:val="28"/>
        </w:rPr>
      </w:r>
      <w:r/>
    </w:p>
    <w:p>
      <w:pPr>
        <w:ind w:firstLine="1470"/>
        <w:jc w:val="left"/>
        <w:spacing w:before="120" w:after="120" w:line="360" w:lineRule="auto"/>
        <w:rPr>
          <w:rFonts w:ascii="宋体" w:hAnsi="宋体"/>
          <w:sz w:val="24"/>
          <w:szCs w:val="24"/>
        </w:rPr>
      </w:pPr>
      <w:r>
        <w:rPr>
          <w:rFonts w:ascii="Times New Roman" w:hAnsi="Times New Roman"/>
          <w:szCs w:val="21"/>
        </w:rPr>
        <w:t xml:space="preserve">        </w:t>
      </w:r>
      <w:r>
        <w:rPr>
          <w:rFonts w:ascii="Times New Roman" w:hAnsi="Times New Roman"/>
          <w:b/>
          <w:sz w:val="30"/>
          <w:szCs w:val="30"/>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hint="default" w:ascii="Arial" w:hAnsi="Arial" w:eastAsia="宋体"/>
          <w:b/>
          <w:bCs/>
          <w:sz w:val="32"/>
          <w:szCs w:val="24"/>
          <w:lang w:val="en-US" w:eastAsia="zh-CN"/>
        </w:rPr>
      </w:pPr>
      <w:r>
        <w:rPr>
          <w:rFonts w:hint="eastAsia" w:ascii="Arial" w:hAnsi="Arial"/>
          <w:b/>
          <w:bCs/>
          <w:sz w:val="32"/>
          <w:szCs w:val="24"/>
        </w:rPr>
        <w:t xml:space="preserve">扬州市公共资源交易中心</w:t>
      </w:r>
      <w:r>
        <w:rPr>
          <w:rFonts w:hint="eastAsia" w:ascii="Arial" w:hAnsi="Arial"/>
          <w:b/>
          <w:bCs/>
          <w:sz w:val="32"/>
          <w:szCs w:val="24"/>
          <w:lang w:val="en-US" w:eastAsia="zh-CN"/>
        </w:rPr>
        <w:t xml:space="preserve">高邮分中心</w:t>
      </w:r>
      <w:r/>
    </w:p>
    <w:p>
      <w:pPr>
        <w:jc w:val="center"/>
        <w:spacing w:before="120" w:after="120" w:line="360" w:lineRule="auto"/>
        <w:rPr>
          <w:rFonts w:ascii="Arial" w:hAnsi="Arial"/>
          <w:b/>
          <w:bCs/>
          <w:sz w:val="32"/>
          <w:szCs w:val="24"/>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1</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rPr>
        <w:t xml:space="preserve">                        </w:t>
      </w:r>
      <w:r/>
    </w:p>
    <w:p>
      <w:pPr>
        <w:jc w:val="center"/>
        <w:spacing w:line="480" w:lineRule="auto"/>
        <w:rPr>
          <w:rFonts w:hint="eastAsia" w:ascii="黑体" w:hAnsi="Arial" w:eastAsia="黑体"/>
          <w:b/>
          <w:sz w:val="44"/>
          <w:szCs w:val="21"/>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16938516"/>
      <w:r/>
      <w:bookmarkStart w:id="2" w:name="_Toc479757206"/>
      <w:r/>
      <w:bookmarkStart w:id="3" w:name="_Toc20823272"/>
      <w:r/>
      <w:bookmarkStart w:id="4" w:name="_Toc513029200"/>
      <w:r/>
      <w:bookmarkStart w:id="5" w:name="_Toc523127445"/>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03</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06</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32</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受[高邮市自然资源和规划局]的委托，扬州市公共资源交易中心高邮分中心就[</w:t>
      </w:r>
      <w:r>
        <w:rPr>
          <w:rFonts w:hint="eastAsia" w:ascii="宋体" w:hAnsi="宋体" w:eastAsia="宋体" w:cs="宋体"/>
          <w:sz w:val="24"/>
          <w:szCs w:val="24"/>
        </w:rPr>
        <w:t xml:space="preserve">高邮市自然资源和规划局关于高邮市2025年度国土变更调查及日常变更项目</w:t>
      </w:r>
      <w:r>
        <w:rPr>
          <w:rFonts w:hint="eastAsia" w:ascii="宋体" w:hAnsi="宋体"/>
          <w:sz w:val="24"/>
          <w:szCs w:val="24"/>
        </w:rPr>
        <w:t xml:space="preserve">](</w:t>
      </w:r>
      <w:r>
        <w:rPr>
          <w:rFonts w:hint="eastAsia" w:ascii="宋体" w:hAnsi="宋体"/>
          <w:sz w:val="24"/>
          <w:szCs w:val="24"/>
        </w:rPr>
        <w:t xml:space="preserve">JSZC-321084-JZCG-C2026-0004</w:t>
      </w:r>
      <w:r>
        <w:rPr>
          <w:rFonts w:hint="eastAsia" w:ascii="宋体" w:hAnsi="宋体"/>
          <w:sz w:val="24"/>
          <w:szCs w:val="24"/>
        </w:rPr>
        <w:tab/>
      </w:r>
      <w:r>
        <w:rPr>
          <w:rFonts w:hint="eastAsia" w:ascii="宋体" w:hAnsi="宋体"/>
          <w:sz w:val="24"/>
          <w:szCs w:val="24"/>
        </w:rPr>
        <w:t xml:space="preserve">)项目进行竞争性磋商采购，欢迎符合条件的供应商参加磋商。</w:t>
      </w:r>
      <w:r/>
    </w:p>
    <w:p>
      <w:pPr>
        <w:ind w:firstLine="480"/>
        <w:keepLines w:val="0"/>
        <w:keepNext w:val="0"/>
        <w:pageBreakBefore w:val="0"/>
        <w:spacing w:line="400" w:lineRule="exac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keepLines w:val="0"/>
        <w:keepNext w:val="0"/>
        <w:pageBreakBefore w:val="0"/>
        <w:spacing w:line="400" w:lineRule="exac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eastAsia="宋体" w:cs="宋体"/>
          <w:sz w:val="24"/>
          <w:szCs w:val="24"/>
          <w:u w:val="single"/>
        </w:rPr>
        <w:t xml:space="preserve">高邮市自然资源和规划局关于高邮市2025年度国土变更调查及日常变更项目</w:t>
      </w:r>
      <w:r>
        <w:rPr>
          <w:rFonts w:hint="eastAsia"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w:t>
      </w:r>
      <w:r>
        <w:rPr>
          <w:rFonts w:hint="eastAsia" w:ascii="宋体" w:hAnsi="宋体"/>
          <w:color w:val="000000"/>
          <w:sz w:val="24"/>
          <w:szCs w:val="24"/>
          <w:u w:val="single"/>
        </w:rPr>
        <w:t xml:space="preserve"> “扬州市政府采购网”</w:t>
      </w:r>
      <w:r>
        <w:rPr>
          <w:rFonts w:hint="eastAsia" w:ascii="宋体" w:hAnsi="宋体"/>
          <w:sz w:val="24"/>
          <w:szCs w:val="24"/>
          <w:u w:val="single"/>
        </w:rPr>
        <w:t xml:space="preserve">自行免费下载</w:t>
      </w:r>
      <w:r>
        <w:rPr>
          <w:rFonts w:hint="eastAsia" w:ascii="宋体" w:hAnsi="宋体"/>
          <w:sz w:val="24"/>
          <w:szCs w:val="24"/>
        </w:rPr>
        <w:t xml:space="preserve">磋商文件，并于</w:t>
      </w:r>
      <w:r>
        <w:rPr>
          <w:rFonts w:hint="eastAsia" w:ascii="宋体" w:hAnsi="宋体"/>
          <w:sz w:val="24"/>
          <w:szCs w:val="24"/>
          <w:u w:val="single"/>
        </w:rPr>
        <w:t xml:space="preserve">  2026  </w:t>
      </w:r>
      <w:r>
        <w:rPr>
          <w:rFonts w:hint="eastAsia" w:ascii="宋体" w:hAnsi="宋体"/>
          <w:bCs/>
          <w:sz w:val="24"/>
          <w:szCs w:val="24"/>
          <w:u w:val="single"/>
        </w:rPr>
        <w:t xml:space="preserve">年 1 月 20 日</w:t>
      </w:r>
      <w:r>
        <w:rPr>
          <w:rFonts w:ascii="宋体" w:hAnsi="宋体"/>
          <w:bCs/>
          <w:sz w:val="24"/>
          <w:szCs w:val="24"/>
          <w:u w:val="single"/>
        </w:rPr>
        <w:t xml:space="preserve"> 9 </w:t>
      </w:r>
      <w:r>
        <w:rPr>
          <w:rFonts w:hint="eastAsia" w:ascii="宋体" w:hAnsi="宋体"/>
          <w:bCs/>
          <w:sz w:val="24"/>
          <w:szCs w:val="24"/>
          <w:u w:val="single"/>
        </w:rPr>
        <w:t xml:space="preserve">点</w:t>
      </w:r>
      <w:r>
        <w:rPr>
          <w:rFonts w:ascii="宋体" w:hAnsi="宋体"/>
          <w:bCs/>
          <w:sz w:val="24"/>
          <w:szCs w:val="24"/>
          <w:u w:val="single"/>
        </w:rPr>
        <w:t xml:space="preserve"> 30 </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JSZC-321084-JZCG-C2026-0004</w:t>
      </w:r>
      <w:r>
        <w:rPr>
          <w:rFonts w:hint="eastAsia" w:ascii="宋体" w:hAnsi="宋体"/>
          <w:sz w:val="24"/>
          <w:szCs w:val="24"/>
        </w:rPr>
        <w:tab/>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2.项目名称：</w:t>
      </w:r>
      <w:r>
        <w:rPr>
          <w:rFonts w:hint="eastAsia" w:ascii="宋体" w:hAnsi="宋体" w:eastAsia="宋体" w:cs="宋体"/>
          <w:sz w:val="24"/>
          <w:szCs w:val="24"/>
        </w:rPr>
        <w:t xml:space="preserve">高邮市20</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年度国土变更调查及日常国土变更调查工作</w:t>
      </w:r>
      <w:bookmarkEnd w:id="11"/>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3.预算金额</w:t>
      </w:r>
      <w:r/>
    </w:p>
    <w:tbl>
      <w:tblPr>
        <w:tblStyle w:val="844"/>
        <w:tblW w:w="0" w:type="auto"/>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3147"/>
      </w:tblGrid>
      <w:tr>
        <w:trPr/>
        <w:tc>
          <w:tcPr>
            <w:tcBorders>
              <w:top w:val="single" w:color="auto" w:sz="4" w:space="0"/>
              <w:left w:val="single" w:color="auto" w:sz="4" w:space="0"/>
              <w:bottom w:val="single" w:color="auto" w:sz="4" w:space="0"/>
              <w:right w:val="single" w:color="auto" w:sz="4" w:space="0"/>
            </w:tcBorders>
            <w:tcW w:w="1327"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147"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W w:w="1327"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147" w:type="dxa"/>
            <w:vAlign w:val="top"/>
            <w:textDirection w:val="lrTb"/>
            <w:noWrap w:val="false"/>
          </w:tcPr>
          <w:p>
            <w:pPr>
              <w:jc w:val="center"/>
              <w:keepLines w:val="0"/>
              <w:keepNext w:val="0"/>
              <w:pageBreakBefore w:val="0"/>
              <w:spacing w:line="400" w:lineRule="exact"/>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135</w:t>
            </w:r>
            <w:r/>
          </w:p>
        </w:tc>
      </w:tr>
    </w:tbl>
    <w:p>
      <w:pPr>
        <w:ind w:firstLine="480"/>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Style w:val="844"/>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3103"/>
        <w:gridCol w:w="3197"/>
      </w:tblGrid>
      <w:tr>
        <w:trPr/>
        <w:tc>
          <w:tcPr>
            <w:tcW w:w="1374" w:type="dxa"/>
            <w:vAlign w:val="top"/>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采购包号</w:t>
            </w:r>
            <w:r/>
          </w:p>
        </w:tc>
        <w:tc>
          <w:tcPr>
            <w:tcW w:w="3103" w:type="dxa"/>
            <w:vAlign w:val="top"/>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197" w:type="dxa"/>
            <w:vAlign w:val="top"/>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74" w:type="dxa"/>
            <w:vAlign w:val="top"/>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w:t>
            </w:r>
            <w:r/>
          </w:p>
        </w:tc>
        <w:tc>
          <w:tcPr>
            <w:tcW w:w="3103" w:type="dxa"/>
            <w:vAlign w:val="top"/>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是</w:t>
            </w:r>
            <w:r/>
          </w:p>
        </w:tc>
        <w:tc>
          <w:tcPr>
            <w:tcW w:w="3197" w:type="dxa"/>
            <w:vAlign w:val="top"/>
            <w:textDirection w:val="lrTb"/>
            <w:noWrap w:val="false"/>
          </w:tcPr>
          <w:p>
            <w:pPr>
              <w:jc w:val="center"/>
              <w:keepLines w:val="0"/>
              <w:keepNext w:val="0"/>
              <w:pageBreakBefore w:val="0"/>
              <w:spacing w:line="40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125</w:t>
            </w:r>
            <w:r/>
          </w:p>
        </w:tc>
      </w:tr>
    </w:tbl>
    <w:p>
      <w:pPr>
        <w:ind w:firstLine="480"/>
        <w:spacing w:line="360" w:lineRule="auto"/>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w:t>
      </w:r>
      <w:r>
        <w:rPr>
          <w:rFonts w:hint="eastAsia" w:ascii="宋体" w:hAnsi="宋体" w:eastAsia="宋体" w:cs="宋体"/>
          <w:sz w:val="24"/>
          <w:szCs w:val="24"/>
        </w:rPr>
        <w:t xml:space="preserve">根据国家、省、市统一部署，在上一年度国土变更调查基础上，开展202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度变更调查工作，全面查清土地利用现状及权属变化状况，及时更新土地调查数据库，满足自然资源管理需要。同时，为减轻年底集中变更的工作压力，切实保障我市国土调查成果的现势性和准确性，根据国家要求，开展日常国土变更调查工作。</w:t>
      </w:r>
      <w:r>
        <w:rPr>
          <w:rFonts w:hint="eastAsia" w:ascii="宋体" w:hAnsi="宋体" w:cs="宋体"/>
          <w:sz w:val="24"/>
          <w:szCs w:val="24"/>
        </w:rPr>
        <w:t xml:space="preserve">（详细内容见本磋商文件第四章）</w:t>
      </w:r>
      <w:r/>
    </w:p>
    <w:p>
      <w:pPr>
        <w:ind w:firstLine="480"/>
        <w:keepLines w:val="0"/>
        <w:keepNext w:val="0"/>
        <w:pageBreakBefore w:val="0"/>
        <w:spacing w:line="400" w:lineRule="exact"/>
        <w:widowControl w:val="off"/>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w:t>
      </w:r>
      <w:r>
        <w:rPr>
          <w:rFonts w:hint="eastAsia" w:ascii="宋体" w:hAnsi="宋体" w:eastAsia="宋体" w:cs="宋体"/>
          <w:sz w:val="24"/>
          <w:szCs w:val="24"/>
        </w:rPr>
        <w:t xml:space="preserve">自合同签订之日起</w:t>
      </w:r>
      <w:r>
        <w:rPr>
          <w:rFonts w:hint="eastAsia" w:ascii="宋体" w:hAnsi="宋体" w:eastAsia="宋体" w:cs="宋体"/>
          <w:sz w:val="24"/>
          <w:szCs w:val="24"/>
          <w:lang w:val="en-US" w:eastAsia="zh-CN"/>
        </w:rPr>
        <w:t xml:space="preserve">一年</w:t>
      </w:r>
      <w:r>
        <w:rPr>
          <w:rFonts w:hint="eastAsia" w:ascii="宋体" w:hAnsi="宋体" w:eastAsia="宋体" w:cs="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12" w:name="_Toc35393622"/>
      <w:r/>
      <w:bookmarkStart w:id="13" w:name="_Toc28359003"/>
      <w:r/>
      <w:bookmarkStart w:id="14" w:name="_Toc38985264"/>
      <w:r/>
      <w:bookmarkStart w:id="15" w:name="_Toc35393791"/>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keepLines w:val="0"/>
        <w:keepNext w:val="0"/>
        <w:pageBreakBefore w:val="0"/>
        <w:spacing w:line="400" w:lineRule="exact"/>
        <w:widowControl w:val="off"/>
        <w:rPr>
          <w:rFonts w:ascii="宋体" w:hAnsi="宋体"/>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sz w:val="24"/>
          <w:szCs w:val="24"/>
        </w:rPr>
        <w:t xml:space="preserve">（一）通用资格要求</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1.2 2024年度</w:t>
      </w:r>
      <w:r>
        <w:rPr>
          <w:rFonts w:hint="eastAsia" w:ascii="宋体" w:hAnsi="宋体"/>
          <w:sz w:val="24"/>
          <w:szCs w:val="24"/>
        </w:rPr>
        <w:t xml:space="preserve">或2025</w:t>
      </w:r>
      <w:r>
        <w:rPr>
          <w:rFonts w:hint="eastAsia" w:ascii="宋体" w:hAnsi="宋体"/>
          <w:sz w:val="24"/>
          <w:szCs w:val="24"/>
        </w:rPr>
        <w:t xml:space="preserve">年度</w:t>
      </w:r>
      <w:r>
        <w:rPr>
          <w:rFonts w:hint="eastAsia" w:ascii="宋体" w:hAnsi="宋体"/>
          <w:sz w:val="24"/>
          <w:szCs w:val="24"/>
        </w:rPr>
        <w:t xml:space="preserve">的财务状况报告（成立不满一年无需提供）；</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.6 供应商信用承诺函</w:t>
      </w:r>
      <w:r/>
    </w:p>
    <w:p>
      <w:pPr>
        <w:ind w:firstLine="480"/>
        <w:keepLines w:val="0"/>
        <w:keepNext w:val="0"/>
        <w:pageBreakBefore w:val="0"/>
        <w:spacing w:line="400" w:lineRule="exact"/>
        <w:widowControl w:val="off"/>
        <w:rPr>
          <w:rFonts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keepLines w:val="0"/>
        <w:keepNext w:val="0"/>
        <w:pageBreakBefore w:val="0"/>
        <w:spacing w:line="400" w:lineRule="exact"/>
        <w:widowControl w:val="off"/>
        <w:rPr>
          <w:rFonts w:ascii="宋体" w:hAnsi="宋体" w:cs="宋体"/>
          <w:sz w:val="24"/>
          <w:szCs w:val="24"/>
        </w:rPr>
      </w:pPr>
      <w:r>
        <w:rPr>
          <w:rFonts w:hint="eastAsia" w:ascii="宋体" w:hAnsi="宋体"/>
          <w:sz w:val="24"/>
          <w:szCs w:val="24"/>
        </w:rPr>
        <w:t xml:space="preserve">3. 落实政府采购政策需满足的资格要求：无</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4.联合体参与磋商</w:t>
      </w:r>
      <w:r/>
    </w:p>
    <w:tbl>
      <w:tblPr>
        <w:tblStyle w:val="84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3081"/>
        <w:gridCol w:w="4038"/>
      </w:tblGrid>
      <w:tr>
        <w:trPr/>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081"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是否接受联合体参与磋商</w:t>
            </w:r>
            <w:r/>
          </w:p>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该采购包中联合体成员数量上限</w:t>
            </w:r>
            <w:r/>
          </w:p>
        </w:tc>
      </w:tr>
      <w:tr>
        <w:trPr/>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81"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否</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w:t>
            </w:r>
            <w:r/>
          </w:p>
        </w:tc>
      </w:tr>
    </w:tbl>
    <w:p>
      <w:pPr>
        <w:ind w:left="480"/>
        <w:keepLines w:val="0"/>
        <w:keepNext w:val="0"/>
        <w:pageBreakBefore w:val="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5.进口产品参与磋商</w:t>
      </w:r>
      <w:r/>
    </w:p>
    <w:tbl>
      <w:tblPr>
        <w:tblStyle w:val="844"/>
        <w:tblW w:w="0" w:type="auto"/>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3103"/>
      </w:tblGrid>
      <w:tr>
        <w:trPr>
          <w:trHeight w:val="372"/>
        </w:trPr>
        <w:tc>
          <w:tcPr>
            <w:tcW w:w="1224"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W w:w="310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是否接受进口产品</w:t>
            </w:r>
            <w:r>
              <w:rPr>
                <w:rFonts w:hint="eastAsia" w:ascii="宋体" w:hAnsi="宋体" w:cs="宋体"/>
                <w:color w:val="000000"/>
                <w:sz w:val="24"/>
                <w:szCs w:val="24"/>
              </w:rPr>
              <w:t xml:space="preserve">参与磋商</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224"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W w:w="310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否</w:t>
            </w:r>
            <w:r/>
          </w:p>
        </w:tc>
      </w:tr>
    </w:tbl>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（二）本项目的特定资格要求</w:t>
      </w:r>
      <w:r/>
    </w:p>
    <w:tbl>
      <w:tblPr>
        <w:tblStyle w:val="84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6244"/>
      </w:tblGrid>
      <w:tr>
        <w:trPr/>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6244"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6244" w:type="dxa"/>
            <w:vAlign w:val="top"/>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须具有测绘主管部门颁发的界线与不动产测绘、地图编制专业乙级及以上测绘资质证书。</w:t>
            </w:r>
            <w:r>
              <w:rPr>
                <w:rFonts w:hint="eastAsia" w:ascii="Times New Roman" w:hAnsi="Times New Roman"/>
                <w:sz w:val="24"/>
                <w:szCs w:val="24"/>
              </w:rPr>
              <w:t xml:space="preserve">（证书原件扫描后上传）</w:t>
            </w:r>
            <w:r/>
          </w:p>
        </w:tc>
      </w:tr>
    </w:tbl>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p>
    <w:p>
      <w:pPr>
        <w:ind w:firstLine="540"/>
        <w:spacing w:line="360" w:lineRule="auto"/>
        <w:rPr>
          <w:rFonts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2.方式：在“江苏政府采购网、扬州市政府采购网”自行免费下载磋商文件。</w:t>
      </w:r>
      <w:bookmarkEnd w:id="17"/>
      <w:r/>
      <w:bookmarkEnd w:id="18"/>
      <w:r/>
      <w:bookmarkEnd w:id="19"/>
      <w:r/>
      <w:bookmarkEnd w:id="20"/>
      <w:r/>
      <w:bookmarkEnd w:id="21"/>
      <w:r/>
      <w:r/>
    </w:p>
    <w:p>
      <w:pPr>
        <w:ind w:firstLine="498"/>
        <w:keepLines/>
        <w:keepNext/>
        <w:spacing w:before="156" w:after="156" w:line="360" w:lineRule="auto"/>
        <w:rPr>
          <w:rFonts w:ascii="Times New Roman" w:hAnsi="Times New Roman"/>
          <w:b/>
          <w:bCs/>
          <w:sz w:val="32"/>
          <w:szCs w:val="32"/>
        </w:rPr>
        <w:outlineLvl w:val="2"/>
      </w:pPr>
      <w:r/>
      <w:bookmarkStart w:id="22" w:name="_Toc28359082"/>
      <w:r/>
      <w:bookmarkStart w:id="23" w:name="_Toc28359005"/>
      <w:r/>
      <w:bookmarkStart w:id="24" w:name="_Toc35393793"/>
      <w:r/>
      <w:bookmarkStart w:id="25" w:name="_Toc38985266"/>
      <w:r/>
      <w:bookmarkStart w:id="26" w:name="_Toc35393624"/>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w:t>
      </w:r>
      <w:r>
        <w:rPr>
          <w:rFonts w:hint="eastAsia" w:ascii="Times New Roman" w:hAnsi="Times New Roman"/>
          <w:b/>
          <w:bCs/>
          <w:color w:val="ff0000"/>
          <w:sz w:val="32"/>
          <w:szCs w:val="32"/>
        </w:rPr>
        <w:t xml:space="preserve">开启时间及地点</w:t>
      </w:r>
      <w:r/>
    </w:p>
    <w:p>
      <w:pPr>
        <w:ind w:firstLine="480"/>
        <w:rPr>
          <w:rFonts w:ascii="宋体" w:hAnsi="宋体" w:cs="宋体"/>
          <w:sz w:val="24"/>
          <w:szCs w:val="24"/>
        </w:rPr>
      </w:pPr>
      <w:r>
        <w:rPr>
          <w:rFonts w:hint="eastAsia" w:ascii="宋体" w:hAnsi="宋体"/>
          <w:bCs/>
          <w:sz w:val="24"/>
          <w:szCs w:val="24"/>
          <w:u w:val="single"/>
        </w:rPr>
        <w:t xml:space="preserve">1.  2026  年 1 月 20 日</w:t>
      </w:r>
      <w:r>
        <w:rPr>
          <w:rFonts w:ascii="宋体" w:hAnsi="宋体"/>
          <w:bCs/>
          <w:sz w:val="24"/>
          <w:szCs w:val="24"/>
          <w:u w:val="single"/>
        </w:rPr>
        <w:t xml:space="preserve"> 9 </w:t>
      </w:r>
      <w:r>
        <w:rPr>
          <w:rFonts w:hint="eastAsia" w:ascii="宋体" w:hAnsi="宋体"/>
          <w:bCs/>
          <w:sz w:val="24"/>
          <w:szCs w:val="24"/>
          <w:u w:val="single"/>
        </w:rPr>
        <w:t xml:space="preserve">点</w:t>
      </w:r>
      <w:r>
        <w:rPr>
          <w:rFonts w:ascii="宋体" w:hAnsi="宋体"/>
          <w:bCs/>
          <w:sz w:val="24"/>
          <w:szCs w:val="24"/>
          <w:u w:val="single"/>
        </w:rPr>
        <w:t xml:space="preserve"> 30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2.地点：“苏采云”政府采购交易系统。</w:t>
      </w:r>
      <w:r/>
    </w:p>
    <w:p>
      <w:pPr>
        <w:ind w:firstLine="498"/>
        <w:keepLines/>
        <w:keepNext/>
        <w:spacing w:before="156" w:after="156" w:line="360" w:lineRule="auto"/>
        <w:rPr>
          <w:rFonts w:ascii="Times New Roman" w:hAnsi="Times New Roman"/>
          <w:b/>
          <w:bCs/>
          <w:sz w:val="32"/>
          <w:szCs w:val="32"/>
        </w:rPr>
        <w:outlineLvl w:val="2"/>
      </w:pPr>
      <w:r/>
      <w:bookmarkStart w:id="27" w:name="_Toc38985267"/>
      <w:r/>
      <w:bookmarkStart w:id="28" w:name="_Toc35393625"/>
      <w:r/>
      <w:bookmarkStart w:id="29" w:name="_Toc28359007"/>
      <w:r/>
      <w:bookmarkStart w:id="30" w:name="_Toc35393794"/>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rPr>
          <w:rFonts w:ascii="宋体" w:hAnsi="宋体"/>
          <w:bCs/>
          <w:color w:val="ff0000"/>
          <w:sz w:val="24"/>
          <w:szCs w:val="24"/>
          <w:u w:val="single"/>
        </w:rPr>
      </w:pPr>
      <w:r>
        <w:rPr>
          <w:rFonts w:hint="eastAsia" w:ascii="宋体" w:hAnsi="宋体" w:cs="宋体"/>
          <w:sz w:val="24"/>
          <w:szCs w:val="24"/>
        </w:rPr>
        <w:t xml:space="preserve">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p>
    <w:p>
      <w:pPr>
        <w:ind w:firstLine="498"/>
        <w:keepLines/>
        <w:keepNext/>
        <w:spacing w:before="156" w:after="156" w:line="360" w:lineRule="auto"/>
        <w:rPr>
          <w:rFonts w:ascii="Times New Roman" w:hAnsi="Times New Roman"/>
          <w:b/>
          <w:bCs/>
          <w:sz w:val="32"/>
          <w:szCs w:val="32"/>
        </w:rPr>
        <w:outlineLvl w:val="2"/>
      </w:pPr>
      <w:r/>
      <w:bookmarkStart w:id="32" w:name="_Toc38985268"/>
      <w:r/>
      <w:bookmarkStart w:id="33" w:name="_Toc35393626"/>
      <w:r/>
      <w:bookmarkStart w:id="34" w:name="_Toc35393795"/>
      <w:r>
        <w:rPr>
          <w:rFonts w:hint="eastAsia" w:ascii="Times New Roman" w:hAnsi="Times New Roman"/>
          <w:b/>
          <w:bCs/>
          <w:sz w:val="32"/>
          <w:szCs w:val="32"/>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5" w:name="_Toc35393627"/>
      <w:r/>
      <w:bookmarkStart w:id="36" w:name="_Toc28359085"/>
      <w:r/>
      <w:bookmarkStart w:id="37" w:name="_Toc28359008"/>
      <w:r/>
      <w:bookmarkStart w:id="38" w:name="_Toc35393796"/>
      <w:r/>
      <w:bookmarkStart w:id="39" w:name="_Toc38985269"/>
      <w:r>
        <w:rPr>
          <w:rFonts w:hint="eastAsia" w:ascii="Times New Roman" w:hAnsi="Times New Roman"/>
          <w:b/>
          <w:bCs/>
          <w:sz w:val="32"/>
          <w:szCs w:val="32"/>
        </w:rPr>
        <w:t xml:space="preserve">七、本次磋商联系方式</w:t>
      </w:r>
      <w:bookmarkEnd w:id="35"/>
      <w:r/>
      <w:bookmarkEnd w:id="36"/>
      <w:r/>
      <w:bookmarkEnd w:id="37"/>
      <w:r/>
      <w:bookmarkEnd w:id="38"/>
      <w:r/>
      <w:bookmarkEnd w:id="39"/>
      <w:r/>
      <w:r/>
    </w:p>
    <w:p>
      <w:pPr>
        <w:jc w:val="left"/>
        <w:pageBreakBefore w:val="0"/>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pageBreakBefore w:val="0"/>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eastAsia="zh-CN"/>
        </w:rPr>
        <w:t xml:space="preserve">高邮市自然资源和规划局</w:t>
      </w:r>
      <w:r>
        <w:rPr>
          <w:rFonts w:hint="eastAsia" w:ascii="宋体" w:hAnsi="宋体"/>
          <w:sz w:val="24"/>
          <w:szCs w:val="24"/>
          <w:u w:val="single"/>
        </w:rPr>
        <w:t xml:space="preserve">　　　</w:t>
      </w:r>
      <w:r/>
    </w:p>
    <w:p>
      <w:pPr>
        <w:ind w:firstLine="480"/>
        <w:jc w:val="left"/>
        <w:pageBreakBefore w:val="0"/>
        <w:spacing w:line="40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u w:val="single"/>
        </w:rPr>
        <w:t xml:space="preserve">　</w:t>
      </w:r>
      <w:r>
        <w:rPr>
          <w:rFonts w:hint="eastAsia" w:ascii="宋体" w:hAnsi="宋体" w:eastAsia="宋体" w:cs="宋体"/>
          <w:sz w:val="24"/>
          <w:szCs w:val="24"/>
          <w:u w:val="single"/>
        </w:rPr>
        <w:t xml:space="preserve">高邮市通湖路102号</w:t>
      </w:r>
      <w:r>
        <w:rPr>
          <w:rFonts w:hint="eastAsia" w:ascii="宋体" w:hAnsi="宋体"/>
          <w:sz w:val="24"/>
          <w:szCs w:val="24"/>
          <w:u w:val="single"/>
        </w:rPr>
        <w:t xml:space="preserve">　　　　　</w:t>
      </w:r>
      <w:r/>
    </w:p>
    <w:p>
      <w:pPr>
        <w:ind w:firstLine="480"/>
        <w:jc w:val="left"/>
        <w:pageBreakBefore w:val="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s="宋体"/>
          <w:sz w:val="24"/>
          <w:szCs w:val="24"/>
          <w:u w:val="single"/>
          <w:lang w:val="en-US" w:eastAsia="zh-CN"/>
        </w:rPr>
        <w:t xml:space="preserve">刘庆海</w:t>
      </w:r>
      <w:r>
        <w:rPr>
          <w:rFonts w:hint="eastAsia" w:ascii="宋体" w:hAnsi="宋体"/>
          <w:sz w:val="24"/>
          <w:szCs w:val="24"/>
          <w:u w:val="single"/>
        </w:rPr>
        <w:t xml:space="preserve">                     </w:t>
      </w:r>
      <w:r/>
    </w:p>
    <w:p>
      <w:pPr>
        <w:ind w:firstLine="480"/>
        <w:jc w:val="left"/>
        <w:pageBreakBefore w:val="0"/>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eastAsia="宋体" w:cs="宋体"/>
          <w:sz w:val="24"/>
          <w:szCs w:val="24"/>
          <w:u w:val="single"/>
        </w:rPr>
        <w:t xml:space="preserve">1</w:t>
      </w:r>
      <w:r>
        <w:rPr>
          <w:rFonts w:hint="eastAsia" w:ascii="宋体" w:hAnsi="宋体" w:cs="宋体"/>
          <w:sz w:val="24"/>
          <w:szCs w:val="24"/>
          <w:u w:val="single"/>
          <w:lang w:val="en-US" w:eastAsia="zh-CN"/>
        </w:rPr>
        <w:t xml:space="preserve">5189898585</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bookmarkStart w:id="40" w:name="_Toc28359009"/>
      <w:r/>
      <w:bookmarkStart w:id="41" w:name="_Toc28359086"/>
      <w:r/>
      <w:r/>
    </w:p>
    <w:p>
      <w:pPr>
        <w:ind w:firstLine="480"/>
        <w:jc w:val="left"/>
        <w:pageBreakBefore w:val="0"/>
        <w:spacing w:line="400" w:lineRule="exact"/>
        <w:rPr>
          <w:rFonts w:ascii="宋体" w:hAnsi="宋体"/>
          <w:sz w:val="24"/>
          <w:szCs w:val="24"/>
        </w:rPr>
      </w:pPr>
      <w:r>
        <w:rPr>
          <w:rFonts w:hint="eastAsia" w:ascii="宋体" w:hAnsi="宋体" w:cs="宋体"/>
          <w:sz w:val="24"/>
          <w:szCs w:val="24"/>
        </w:rPr>
        <w:t xml:space="preserve">2.扬州市公共资源交易中心高邮分中心信息</w:t>
      </w:r>
      <w:bookmarkEnd w:id="40"/>
      <w:r/>
      <w:bookmarkEnd w:id="41"/>
      <w:r/>
      <w:r/>
    </w:p>
    <w:p>
      <w:pPr>
        <w:ind w:firstLine="480"/>
        <w:pageBreakBefore w:val="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cs="宋体"/>
          <w:sz w:val="24"/>
          <w:szCs w:val="24"/>
          <w:u w:val="single"/>
        </w:rPr>
        <w:t xml:space="preserve">高邮市海潮东路997号</w:t>
      </w:r>
      <w:r>
        <w:rPr>
          <w:rFonts w:hint="eastAsia" w:ascii="宋体" w:hAnsi="宋体"/>
          <w:sz w:val="24"/>
          <w:szCs w:val="24"/>
          <w:u w:val="single"/>
        </w:rPr>
        <w:t xml:space="preserve">　</w:t>
      </w:r>
      <w:r/>
    </w:p>
    <w:p>
      <w:pPr>
        <w:ind w:firstLine="480"/>
        <w:pageBreakBefore w:val="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s="宋体"/>
          <w:sz w:val="24"/>
          <w:szCs w:val="24"/>
          <w:u w:val="single"/>
        </w:rPr>
        <w:t xml:space="preserve">杨思磊  夏文涛</w:t>
      </w:r>
      <w:r>
        <w:rPr>
          <w:rFonts w:hint="eastAsia" w:ascii="宋体" w:hAnsi="宋体"/>
          <w:sz w:val="24"/>
          <w:szCs w:val="24"/>
          <w:u w:val="single"/>
        </w:rPr>
        <w:t xml:space="preserve">      </w:t>
      </w:r>
      <w:r/>
    </w:p>
    <w:p>
      <w:pPr>
        <w:ind w:firstLine="480"/>
        <w:pageBreakBefore w:val="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cs="宋体"/>
          <w:sz w:val="24"/>
          <w:szCs w:val="24"/>
          <w:u w:val="single"/>
        </w:rPr>
        <w:t xml:space="preserve">0514-84651312</w:t>
      </w:r>
      <w:r>
        <w:rPr>
          <w:rFonts w:hint="eastAsia" w:ascii="宋体" w:hAnsi="宋体"/>
          <w:sz w:val="24"/>
          <w:szCs w:val="24"/>
          <w:u w:val="single"/>
        </w:rPr>
        <w:t xml:space="preserve">　　　</w:t>
      </w:r>
      <w:bookmarkEnd w:id="42"/>
      <w:r/>
      <w:bookmarkEnd w:id="43"/>
      <w:r/>
      <w:r/>
    </w:p>
    <w:p>
      <w:pPr>
        <w:ind w:firstLine="498"/>
        <w:keepLines/>
        <w:keepNext/>
        <w:pageBreakBefore w:val="0"/>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pageBreakBefore w:val="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http://zfcg.yangzhou.gov.cn/xzzx/art/2023/art_4d7de1f7865f4a2894fc22bc452f94d8.html，请按《操作手册》要求制作、上传电子响应文件。</w:t>
      </w:r>
      <w:r/>
    </w:p>
    <w:p>
      <w:pPr>
        <w:ind w:firstLine="480"/>
        <w:pageBreakBefore w:val="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pageBreakBefore w:val="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有关本次磋商的事项若存在变动或修改，敬请及时关注扬州市公共资源交易中心高邮分中心在</w:t>
      </w:r>
      <w:r>
        <w:rPr>
          <w:rFonts w:hint="eastAsia" w:ascii="宋体" w:hAnsi="宋体"/>
          <w:bCs/>
          <w:color w:val="000000"/>
          <w:sz w:val="24"/>
          <w:szCs w:val="24"/>
        </w:rPr>
        <w:t xml:space="preserve">“江苏政府采购网”、“扬州市政府采购网”发布的更正公告</w:t>
      </w:r>
      <w:r>
        <w:rPr>
          <w:rFonts w:hint="eastAsia" w:ascii="宋体" w:hAnsi="宋体"/>
          <w:bCs/>
          <w:sz w:val="24"/>
          <w:szCs w:val="24"/>
        </w:rPr>
        <w:t xml:space="preserve">。</w:t>
      </w:r>
      <w:r/>
    </w:p>
    <w:p>
      <w:pPr>
        <w:ind w:firstLine="480"/>
        <w:pageBreakBefore w:val="0"/>
        <w:spacing w:line="400" w:lineRule="exact"/>
        <w:tabs>
          <w:tab w:val="left" w:pos="900" w:leader="none"/>
        </w:tabs>
        <w:rPr>
          <w:rFonts w:ascii="宋体" w:hAnsi="宋体"/>
          <w:bCs/>
          <w:sz w:val="24"/>
          <w:szCs w:val="24"/>
        </w:rPr>
      </w:pPr>
      <w:r>
        <w:rPr>
          <w:rFonts w:hint="eastAsia" w:ascii="宋体" w:hAnsi="宋体"/>
          <w:bCs/>
          <w:sz w:val="24"/>
          <w:szCs w:val="24"/>
        </w:rPr>
        <w:t xml:space="preserve">3. 本次磋商不收取磋商保证金。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jc w:val="center"/>
        <w:keepNext/>
        <w:rPr>
          <w:rFonts w:ascii="黑体" w:hAnsi="Times New Roman" w:eastAsia="黑体"/>
          <w:sz w:val="44"/>
          <w:szCs w:val="44"/>
        </w:rPr>
        <w:outlineLvl w:val="0"/>
      </w:pPr>
      <w:r/>
      <w:bookmarkStart w:id="44" w:name="_Toc120614211"/>
      <w:r>
        <w:rPr>
          <w:rFonts w:hint="eastAsia" w:ascii="黑体" w:hAnsi="Times New Roman" w:eastAsia="黑体"/>
          <w:sz w:val="44"/>
          <w:szCs w:val="44"/>
        </w:rPr>
        <w:t xml:space="preserve">第二章  </w:t>
      </w:r>
      <w:bookmarkEnd w:id="1"/>
      <w:r/>
      <w:bookmarkEnd w:id="2"/>
      <w:r/>
      <w:bookmarkEnd w:id="3"/>
      <w:r/>
      <w:bookmarkEnd w:id="4"/>
      <w:r/>
      <w:bookmarkEnd w:id="5"/>
      <w:r/>
      <w:bookmarkEnd w:id="44"/>
      <w:r>
        <w:rPr>
          <w:rFonts w:hint="eastAsia" w:ascii="黑体" w:hAnsi="Times New Roman" w:eastAsia="黑体"/>
          <w:sz w:val="44"/>
          <w:szCs w:val="44"/>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45" w:name="_Toc513029203"/>
      <w:r/>
      <w:bookmarkStart w:id="46" w:name="_Toc20823275"/>
      <w:r/>
      <w:bookmarkStart w:id="47" w:name="_Toc16938519"/>
      <w:r/>
      <w:bookmarkStart w:id="48" w:name="_Toc120614214"/>
      <w:r>
        <w:rPr>
          <w:rFonts w:hint="eastAsia" w:ascii="Times New Roman" w:hAnsi="Times New Roman"/>
          <w:b/>
          <w:bCs/>
          <w:sz w:val="32"/>
          <w:szCs w:val="32"/>
        </w:rPr>
        <w:t xml:space="preserve">一、总则</w:t>
      </w:r>
      <w:bookmarkEnd w:id="45"/>
      <w:r/>
      <w:bookmarkEnd w:id="46"/>
      <w:r/>
      <w:bookmarkEnd w:id="47"/>
      <w:r/>
      <w:bookmarkEnd w:id="48"/>
      <w:r/>
      <w:r/>
    </w:p>
    <w:p>
      <w:pPr>
        <w:ind w:firstLine="420"/>
        <w:keepLines/>
        <w:keepNext/>
        <w:rPr>
          <w:rFonts w:ascii="Arial" w:hAnsi="Arial" w:eastAsia="黑体" w:cs="Arial"/>
          <w:sz w:val="28"/>
          <w:szCs w:val="28"/>
        </w:rPr>
        <w:outlineLvl w:val="3"/>
      </w:pPr>
      <w:r/>
      <w:bookmarkStart w:id="49" w:name="_Hlt16619475"/>
      <w:r/>
      <w:bookmarkEnd w:id="49"/>
      <w:r/>
      <w:bookmarkStart w:id="50" w:name="_Toc458694821"/>
      <w:r/>
      <w:bookmarkStart w:id="51" w:name="_Toc513029204"/>
      <w:r/>
      <w:bookmarkStart w:id="52" w:name="_Toc20823276"/>
      <w:r/>
      <w:bookmarkStart w:id="53" w:name="_Toc16938520"/>
      <w:r>
        <w:rPr>
          <w:rFonts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4" w:name="_Toc20823277"/>
      <w:r/>
      <w:bookmarkStart w:id="55" w:name="_Toc16938521"/>
      <w:r/>
      <w:bookmarkStart w:id="56" w:name="_Toc513029205"/>
      <w:r>
        <w:rPr>
          <w:rFonts w:ascii="Arial" w:hAnsi="Arial" w:eastAsia="黑体" w:cs="Arial"/>
          <w:sz w:val="28"/>
          <w:szCs w:val="28"/>
        </w:rPr>
        <w:t xml:space="preserve">2</w:t>
      </w:r>
      <w:r>
        <w:rPr>
          <w:rFonts w:hint="eastAsia" w:ascii="Arial" w:hAnsi="Arial" w:eastAsia="黑体" w:cs="Arial"/>
          <w:sz w:val="28"/>
          <w:szCs w:val="28"/>
        </w:rPr>
        <w:t xml:space="preserve">、合格的</w:t>
      </w:r>
      <w:bookmarkEnd w:id="54"/>
      <w:r/>
      <w:bookmarkEnd w:id="55"/>
      <w:r/>
      <w:bookmarkEnd w:id="56"/>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ascii="Arial" w:hAnsi="Arial" w:eastAsia="黑体" w:cs="Arial"/>
          <w:sz w:val="28"/>
          <w:szCs w:val="28"/>
        </w:rPr>
        <w:outlineLvl w:val="3"/>
      </w:pPr>
      <w:r/>
      <w:bookmarkStart w:id="57" w:name="_Toc16938522"/>
      <w:r/>
      <w:bookmarkStart w:id="58" w:name="_Toc513029206"/>
      <w:r/>
      <w:bookmarkStart w:id="59"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57"/>
      <w:r/>
      <w:bookmarkEnd w:id="58"/>
      <w:r/>
      <w:bookmarkEnd w:id="59"/>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p>
    <w:p>
      <w:pPr>
        <w:ind w:firstLine="420"/>
        <w:keepLines/>
        <w:keepNext/>
        <w:rPr>
          <w:rFonts w:ascii="Arial" w:hAnsi="Arial" w:eastAsia="黑体" w:cs="Arial"/>
          <w:sz w:val="28"/>
          <w:szCs w:val="28"/>
        </w:rPr>
        <w:outlineLvl w:val="3"/>
      </w:pPr>
      <w:r/>
      <w:bookmarkStart w:id="60" w:name="_Toc16938523"/>
      <w:r/>
      <w:bookmarkStart w:id="61" w:name="_Toc20823279"/>
      <w:r/>
      <w:bookmarkStart w:id="62" w:name="_Toc462564067"/>
      <w:r/>
      <w:bookmarkStart w:id="63" w:name="_Toc513029207"/>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60"/>
      <w:r/>
      <w:bookmarkEnd w:id="61"/>
      <w:r/>
      <w:bookmarkEnd w:id="62"/>
      <w:r/>
      <w:bookmarkEnd w:id="63"/>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供应商应自行承担所有与参加本次磋商有关的费用，无论磋商过程中的做法和结果如何，扬州市公共资源交易中心高邮分中心（以下简称交易中心）在任何情况下均无义务和责任承担这些费用。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4.2本次磋商交易中心和采购人不收取标书工本费与成交服务费。</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rFonts w:ascii="Times New Roman" w:hAnsi="Times New Roman"/>
          <w:b/>
          <w:bCs/>
          <w:sz w:val="32"/>
          <w:szCs w:val="32"/>
        </w:rPr>
        <w:outlineLvl w:val="2"/>
      </w:pPr>
      <w:r/>
      <w:bookmarkStart w:id="64" w:name="_Toc20823281"/>
      <w:r/>
      <w:bookmarkStart w:id="65" w:name="_Toc513029209"/>
      <w:r/>
      <w:bookmarkStart w:id="66" w:name="_Toc16938525"/>
      <w:r/>
      <w:bookmarkStart w:id="67" w:name="_Toc120614215"/>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68" w:name="_Toc513029210"/>
      <w:r/>
      <w:bookmarkStart w:id="69" w:name="_Toc20823282"/>
      <w:r/>
      <w:bookmarkStart w:id="70" w:name="_Toc16938526"/>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68"/>
      <w:r/>
      <w:bookmarkEnd w:id="69"/>
      <w:r/>
      <w:bookmarkEnd w:id="70"/>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请仔细检查磋商文件是否齐全，如有缺漏请立即与交易中心联系解决。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rPr>
        <w:outlineLvl w:val="3"/>
      </w:pPr>
      <w:r/>
      <w:bookmarkStart w:id="71" w:name="_Toc16938528"/>
      <w:r/>
      <w:bookmarkStart w:id="72" w:name="_Toc513029212"/>
      <w:r/>
      <w:bookmarkStart w:id="73" w:name="_Toc462564071"/>
      <w:r/>
      <w:bookmarkStart w:id="74" w:name="_Toc20823284"/>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
    </w:p>
    <w:p>
      <w:pPr>
        <w:ind w:firstLine="480"/>
        <w:spacing w:line="500" w:lineRule="exact"/>
        <w:rPr>
          <w:rFonts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rFonts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江苏政府采购网”“扬州市政府采购网”上发布书面更正公告形式通知所有获取磋商文件的供应商,</w:t>
      </w:r>
      <w:r>
        <w:rPr>
          <w:rFonts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7.2交易中心可以视采购项目的具体情况，组织供应商进行现场考察或召开磋商前答疑会，但不单独或分别组织只有一个供应商参加的现场考察和答疑会。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rPr>
        <w:outlineLvl w:val="2"/>
      </w:pPr>
      <w:r/>
      <w:bookmarkStart w:id="75" w:name="_Toc20823285"/>
      <w:r/>
      <w:bookmarkStart w:id="76" w:name="_Toc120614216"/>
      <w:r/>
      <w:bookmarkStart w:id="77" w:name="_Toc513029213"/>
      <w:r/>
      <w:bookmarkStart w:id="78" w:name="_Toc462564072"/>
      <w:r/>
      <w:bookmarkStart w:id="79" w:name="_Toc16938529"/>
      <w:r>
        <w:rPr>
          <w:rFonts w:hint="eastAsia" w:ascii="Times New Roman" w:hAnsi="Times New Roman"/>
          <w:b/>
          <w:bCs/>
          <w:sz w:val="32"/>
          <w:szCs w:val="32"/>
        </w:rPr>
        <w:t xml:space="preserve">三、响应文件的编制</w:t>
      </w:r>
      <w:bookmarkEnd w:id="75"/>
      <w:r/>
      <w:bookmarkEnd w:id="76"/>
      <w:r/>
      <w:bookmarkEnd w:id="77"/>
      <w:r/>
      <w:bookmarkEnd w:id="78"/>
      <w:r/>
      <w:bookmarkEnd w:id="79"/>
      <w:r/>
      <w:r/>
    </w:p>
    <w:p>
      <w:pPr>
        <w:ind w:firstLine="560"/>
        <w:keepLines/>
        <w:keepNext/>
        <w:rPr>
          <w:rFonts w:ascii="Arial" w:hAnsi="Arial" w:eastAsia="黑体" w:cs="Arial"/>
          <w:b/>
          <w:sz w:val="28"/>
          <w:szCs w:val="28"/>
        </w:rPr>
        <w:outlineLvl w:val="3"/>
      </w:pPr>
      <w:r/>
      <w:bookmarkStart w:id="80" w:name="_Toc16938530"/>
      <w:r/>
      <w:bookmarkStart w:id="81" w:name="_Toc20823286"/>
      <w:r/>
      <w:bookmarkStart w:id="82" w:name="_Toc462564073"/>
      <w:r/>
      <w:bookmarkStart w:id="83" w:name="_Toc513029214"/>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84" w:name="_Toc462564074"/>
      <w:r/>
      <w:bookmarkStart w:id="85" w:name="_Toc16938531"/>
      <w:r/>
      <w:bookmarkStart w:id="86" w:name="_Toc20823287"/>
      <w:r/>
      <w:bookmarkStart w:id="87" w:name="_Toc513029215"/>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
    </w:p>
    <w:p>
      <w:pPr>
        <w:ind w:firstLine="480"/>
        <w:spacing w:line="44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供应商编写的响应文件应包括基本目录、资格审查内容、符合审查内容、价格扣除证明文件等部分。</w:t>
      </w:r>
      <w:r/>
    </w:p>
    <w:p>
      <w:pPr>
        <w:ind w:firstLine="480"/>
        <w:spacing w:line="440" w:lineRule="exact"/>
        <w:rPr>
          <w:rFonts w:ascii="宋体" w:hAnsi="宋体"/>
          <w:sz w:val="24"/>
          <w:szCs w:val="21"/>
        </w:rPr>
      </w:pPr>
      <w:r>
        <w:rPr>
          <w:rFonts w:hint="eastAsia" w:ascii="宋体" w:hAnsi="宋体"/>
          <w:sz w:val="24"/>
          <w:szCs w:val="21"/>
        </w:rPr>
        <w:t xml:space="preserve">9.2 如标书制作工具中格式和内容与“江苏政府采购网”“扬州市政府采购网”发布的磋商文件不一致，请以“江苏政府采购网”“扬州市政府采购网”发布的磋商文件为准。</w:t>
      </w:r>
      <w:r/>
    </w:p>
    <w:p>
      <w:pPr>
        <w:ind w:firstLine="420"/>
        <w:keepLines/>
        <w:keepNext/>
        <w:rPr>
          <w:rFonts w:ascii="Arial" w:hAnsi="Arial" w:eastAsia="黑体" w:cs="Arial"/>
          <w:sz w:val="28"/>
          <w:szCs w:val="28"/>
        </w:rPr>
        <w:outlineLvl w:val="3"/>
      </w:pPr>
      <w:r/>
      <w:bookmarkStart w:id="88" w:name="_Hlt26670360"/>
      <w:r/>
      <w:bookmarkEnd w:id="88"/>
      <w:r/>
      <w:bookmarkStart w:id="89" w:name="_Hlt26668975"/>
      <w:r/>
      <w:bookmarkEnd w:id="89"/>
      <w:r/>
      <w:bookmarkStart w:id="90" w:name="_Hlt26954838"/>
      <w:r/>
      <w:bookmarkEnd w:id="90"/>
      <w:r/>
      <w:bookmarkStart w:id="91" w:name="_Toc513029219"/>
      <w:r/>
      <w:bookmarkStart w:id="92" w:name="_Toc14577357"/>
      <w:r/>
      <w:bookmarkStart w:id="93" w:name="_Toc49090509"/>
      <w:r/>
      <w:bookmarkStart w:id="94" w:name="_Toc14577354"/>
      <w:r/>
      <w:bookmarkStart w:id="95" w:name="_Toc513029216"/>
      <w:r/>
      <w:bookmarkStart w:id="96" w:name="_Toc49090507"/>
      <w:r/>
      <w:bookmarkStart w:id="97" w:name="_Toc49090508"/>
      <w:r/>
      <w:bookmarkStart w:id="98" w:name="_Toc14577355"/>
      <w:r>
        <w:rPr>
          <w:rFonts w:ascii="Arial" w:hAnsi="Arial" w:eastAsia="黑体" w:cs="Arial"/>
          <w:sz w:val="28"/>
          <w:szCs w:val="28"/>
        </w:rPr>
        <w:t xml:space="preserve">10</w:t>
      </w:r>
      <w:r>
        <w:rPr>
          <w:rFonts w:hint="eastAsia" w:ascii="Arial" w:hAnsi="Arial" w:eastAsia="黑体" w:cs="Arial"/>
          <w:sz w:val="28"/>
          <w:szCs w:val="28"/>
        </w:rPr>
        <w:t xml:space="preserve">、证明磋商响应标的符合磋商文件规定的文件</w:t>
      </w:r>
      <w:bookmarkEnd w:id="91"/>
      <w:r/>
      <w:bookmarkEnd w:id="92"/>
      <w:r/>
      <w:bookmarkEnd w:id="93"/>
      <w:r/>
      <w:bookmarkEnd w:id="94"/>
      <w:r/>
      <w:bookmarkEnd w:id="95"/>
      <w:r/>
      <w:bookmarkEnd w:id="96"/>
      <w:r/>
      <w:r/>
    </w:p>
    <w:p>
      <w:pPr>
        <w:spacing w:line="480" w:lineRule="exact"/>
        <w:rPr>
          <w:rFonts w:ascii="宋体" w:hAnsi="宋体"/>
          <w:sz w:val="24"/>
          <w:szCs w:val="24"/>
        </w:rPr>
      </w:pPr>
      <w:r>
        <w:rPr>
          <w:rFonts w:hint="eastAsia" w:ascii="宋体" w:hAnsi="宋体"/>
          <w:sz w:val="24"/>
          <w:szCs w:val="24"/>
        </w:rPr>
        <w:t xml:space="preserve">    10.1供应商应按照磋商文件要求提交证明文件，证明其磋商响应标的符合磋商文件规定。</w:t>
      </w:r>
      <w:r/>
    </w:p>
    <w:p>
      <w:pPr>
        <w:ind w:firstLine="480"/>
        <w:spacing w:line="480" w:lineRule="exact"/>
        <w:rPr>
          <w:rFonts w:ascii="宋体" w:hAnsi="宋体"/>
          <w:sz w:val="24"/>
          <w:szCs w:val="24"/>
        </w:rPr>
      </w:pPr>
      <w:r>
        <w:rPr>
          <w:rFonts w:hint="eastAsia" w:ascii="宋体" w:hAnsi="宋体"/>
          <w:sz w:val="24"/>
          <w:szCs w:val="24"/>
        </w:rPr>
        <w:t xml:space="preserve">10.2磋商文件对证明文件无明确形式要求的，证明文件可以以文字资料、图纸和数据等形式提交。</w:t>
      </w:r>
      <w:bookmarkEnd w:id="97"/>
      <w:r/>
      <w:bookmarkEnd w:id="98"/>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11</w:t>
      </w:r>
      <w:r>
        <w:rPr>
          <w:rFonts w:hint="eastAsia" w:ascii="Arial" w:hAnsi="Arial" w:eastAsia="黑体" w:cs="Arial"/>
          <w:sz w:val="28"/>
          <w:szCs w:val="28"/>
        </w:rPr>
        <w:t xml:space="preserve">、分项报价表</w:t>
      </w:r>
      <w:r/>
    </w:p>
    <w:p>
      <w:pPr>
        <w:ind w:firstLine="480"/>
        <w:spacing w:line="500" w:lineRule="exact"/>
        <w:rPr>
          <w:rFonts w:ascii="宋体" w:hAnsi="宋体"/>
          <w:bCs/>
          <w:sz w:val="24"/>
          <w:szCs w:val="21"/>
        </w:rPr>
      </w:pPr>
      <w:r>
        <w:rPr>
          <w:rFonts w:hint="eastAsia" w:ascii="宋体" w:hAnsi="宋体"/>
          <w:bCs/>
          <w:sz w:val="24"/>
          <w:szCs w:val="21"/>
        </w:rPr>
        <w:t xml:space="preserve">11.1</w:t>
      </w:r>
      <w:r>
        <w:rPr>
          <w:rFonts w:hint="eastAsia" w:ascii="宋体" w:hAnsi="宋体"/>
          <w:sz w:val="24"/>
          <w:szCs w:val="21"/>
        </w:rPr>
        <w:t xml:space="preserve">供应商应按照磋商文件规定格式填报分项报价表。</w:t>
      </w:r>
      <w:r/>
    </w:p>
    <w:p>
      <w:pPr>
        <w:ind w:firstLine="480"/>
        <w:spacing w:line="500" w:lineRule="exact"/>
        <w:rPr>
          <w:rFonts w:ascii="宋体" w:hAnsi="宋体"/>
          <w:bCs/>
          <w:sz w:val="24"/>
          <w:szCs w:val="21"/>
        </w:rPr>
      </w:pPr>
      <w:r>
        <w:rPr>
          <w:rFonts w:hint="eastAsia" w:ascii="宋体" w:hAnsi="宋体"/>
          <w:sz w:val="24"/>
          <w:szCs w:val="21"/>
        </w:rPr>
        <w:t xml:space="preserve">11.2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99" w:name="_Hlt26954846"/>
      <w:r/>
      <w:bookmarkEnd w:id="99"/>
      <w:r/>
      <w:bookmarkStart w:id="100" w:name="_Hlt26670482"/>
      <w:r/>
      <w:bookmarkEnd w:id="100"/>
      <w:r/>
      <w:bookmarkStart w:id="101" w:name="_Hlt26954731"/>
      <w:r/>
      <w:bookmarkEnd w:id="101"/>
      <w:r/>
      <w:bookmarkStart w:id="102" w:name="_Hlt26954848"/>
      <w:r/>
      <w:bookmarkEnd w:id="102"/>
      <w:r/>
      <w:bookmarkStart w:id="103" w:name="_Hlt26670486"/>
      <w:r/>
      <w:bookmarkEnd w:id="103"/>
      <w:r>
        <w:rPr>
          <w:rFonts w:ascii="Arial" w:hAnsi="Arial" w:eastAsia="黑体" w:cs="Arial"/>
          <w:sz w:val="28"/>
          <w:szCs w:val="28"/>
        </w:rPr>
        <w:t xml:space="preserve">12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hint="eastAsia"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12.2供应商需按照磋商文件要求，在响应文件中提供与技术要求和商务要求相关的证明材料。</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13</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ascii="Arial" w:hAnsi="Arial" w:eastAsia="黑体" w:cs="Arial"/>
          <w:sz w:val="28"/>
          <w:szCs w:val="28"/>
        </w:rPr>
        <w:outlineLvl w:val="3"/>
      </w:pPr>
      <w:r/>
      <w:bookmarkStart w:id="104" w:name="_Toc14577359"/>
      <w:r/>
      <w:bookmarkStart w:id="105" w:name="_Toc49090510"/>
      <w:r>
        <w:rPr>
          <w:rFonts w:ascii="Arial" w:hAnsi="Arial" w:eastAsia="黑体" w:cs="Arial"/>
          <w:sz w:val="28"/>
          <w:szCs w:val="28"/>
        </w:rPr>
        <w:t xml:space="preserve">14</w:t>
      </w:r>
      <w:r>
        <w:rPr>
          <w:rFonts w:hint="eastAsia" w:ascii="Arial" w:hAnsi="Arial" w:eastAsia="黑体" w:cs="Arial"/>
          <w:sz w:val="28"/>
          <w:szCs w:val="28"/>
        </w:rPr>
        <w:t xml:space="preserve">、磋商响应函</w:t>
      </w:r>
      <w:r/>
    </w:p>
    <w:p>
      <w:pPr>
        <w:ind w:firstLine="480"/>
        <w:spacing w:line="500" w:lineRule="exact"/>
        <w:rPr>
          <w:rFonts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供应商应按照磋商文件中提供的格式完整、正确填写磋商响应函。</w:t>
      </w:r>
      <w:bookmarkEnd w:id="104"/>
      <w:r/>
      <w:bookmarkEnd w:id="105"/>
      <w:r/>
      <w:r/>
    </w:p>
    <w:p>
      <w:pPr>
        <w:ind w:firstLine="420"/>
        <w:keepLines/>
        <w:keepNext/>
        <w:rPr>
          <w:rFonts w:ascii="Arial" w:hAnsi="Arial" w:eastAsia="黑体" w:cs="Arial"/>
          <w:sz w:val="28"/>
          <w:szCs w:val="28"/>
        </w:rPr>
        <w:outlineLvl w:val="3"/>
      </w:pPr>
      <w:r/>
      <w:bookmarkStart w:id="106" w:name="_Toc49090511"/>
      <w:r/>
      <w:bookmarkStart w:id="107" w:name="_Toc14577360"/>
      <w:r>
        <w:rPr>
          <w:rFonts w:ascii="Arial" w:hAnsi="Arial" w:eastAsia="黑体" w:cs="Arial"/>
          <w:sz w:val="28"/>
          <w:szCs w:val="28"/>
        </w:rPr>
        <w:t xml:space="preserve">15</w:t>
      </w:r>
      <w:r>
        <w:rPr>
          <w:rFonts w:hint="eastAsia" w:ascii="Arial" w:hAnsi="Arial" w:eastAsia="黑体" w:cs="Arial"/>
          <w:sz w:val="28"/>
          <w:szCs w:val="28"/>
        </w:rPr>
        <w:t xml:space="preserve">、磋商有效期</w:t>
      </w:r>
      <w:bookmarkEnd w:id="106"/>
      <w:r/>
      <w:bookmarkEnd w:id="107"/>
      <w:r/>
      <w:r/>
    </w:p>
    <w:p>
      <w:pPr>
        <w:ind w:firstLine="480"/>
        <w:spacing w:line="500" w:lineRule="exact"/>
        <w:rPr>
          <w:rFonts w:ascii="宋体" w:hAnsi="宋体"/>
          <w:bCs/>
          <w:sz w:val="24"/>
          <w:szCs w:val="21"/>
        </w:rPr>
      </w:pPr>
      <w:r>
        <w:rPr>
          <w:rFonts w:hint="eastAsia" w:ascii="宋体" w:hAnsi="宋体"/>
          <w:bCs/>
          <w:sz w:val="24"/>
          <w:szCs w:val="21"/>
        </w:rPr>
        <w:t xml:space="preserve">15.1磋商有效期为交易中心规定的提交响应文件截止之日后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08" w:name="_Hlt26954739"/>
      <w:r/>
      <w:bookmarkEnd w:id="108"/>
      <w:r/>
      <w:bookmarkStart w:id="109" w:name="_Hlt26954852"/>
      <w:r/>
      <w:bookmarkEnd w:id="109"/>
      <w:r/>
      <w:bookmarkStart w:id="110" w:name="_Toc513029224"/>
      <w:r/>
      <w:bookmarkStart w:id="111" w:name="_Toc20823296"/>
      <w:r/>
      <w:bookmarkStart w:id="112" w:name="_Toc16938540"/>
      <w:r/>
      <w:bookmarkStart w:id="113" w:name="_Toc120614217"/>
      <w:r>
        <w:rPr>
          <w:rFonts w:hint="eastAsia" w:ascii="Times New Roman" w:hAnsi="Times New Roman"/>
          <w:b/>
          <w:bCs/>
          <w:sz w:val="32"/>
          <w:szCs w:val="32"/>
        </w:rPr>
        <w:t xml:space="preserve">四、响应文件的递交</w:t>
      </w:r>
      <w:bookmarkEnd w:id="110"/>
      <w:r/>
      <w:bookmarkEnd w:id="111"/>
      <w:r/>
      <w:bookmarkEnd w:id="112"/>
      <w:r/>
      <w:bookmarkEnd w:id="113"/>
      <w:r/>
      <w:r/>
    </w:p>
    <w:p>
      <w:pPr>
        <w:ind w:firstLine="560"/>
        <w:keepLines/>
        <w:keepNext/>
        <w:rPr>
          <w:rFonts w:ascii="黑体" w:hAnsi="Arial" w:eastAsia="黑体" w:cs="Arial"/>
          <w:sz w:val="28"/>
          <w:szCs w:val="28"/>
        </w:rPr>
        <w:outlineLvl w:val="3"/>
      </w:pPr>
      <w:r/>
      <w:bookmarkStart w:id="114" w:name="_Toc20823297"/>
      <w:r/>
      <w:bookmarkStart w:id="115" w:name="_Toc16938541"/>
      <w:r/>
      <w:bookmarkStart w:id="116" w:name="_Toc513029225"/>
      <w:r/>
      <w:bookmarkStart w:id="117" w:name="_Toc462564084"/>
      <w:r>
        <w:rPr>
          <w:rFonts w:ascii="Arial" w:hAnsi="Arial" w:eastAsia="黑体" w:cs="Arial"/>
          <w:sz w:val="28"/>
          <w:szCs w:val="28"/>
        </w:rPr>
        <w:t xml:space="preserve">17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17.1供应商应当按照《操作手册》规定，在提交响应文件截止时间前制作并上传电子响应文件。</w:t>
      </w:r>
      <w:bookmarkStart w:id="118" w:name="_Toc16938542"/>
      <w:r/>
      <w:bookmarkStart w:id="119" w:name="_Toc513029226"/>
      <w:r/>
      <w:bookmarkStart w:id="120" w:name="_Toc20823298"/>
      <w:r/>
      <w:r/>
    </w:p>
    <w:p>
      <w:pPr>
        <w:ind w:firstLine="560"/>
        <w:keepLines/>
        <w:keepNext/>
        <w:spacing w:before="280" w:after="290" w:line="374" w:lineRule="auto"/>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
    </w:p>
    <w:p>
      <w:pPr>
        <w:ind w:firstLine="480"/>
        <w:spacing w:line="500" w:lineRule="exact"/>
        <w:rPr>
          <w:rFonts w:ascii="宋体" w:hAnsi="宋体"/>
          <w:bCs/>
          <w:sz w:val="24"/>
          <w:szCs w:val="21"/>
        </w:rPr>
      </w:pPr>
      <w:r>
        <w:rPr>
          <w:rFonts w:hint="eastAsia" w:ascii="宋体" w:hAnsi="宋体"/>
          <w:sz w:val="24"/>
          <w:szCs w:val="21"/>
        </w:rPr>
        <w:t xml:space="preserve">18.1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ascii="宋体" w:hAnsi="宋体"/>
          <w:bCs/>
          <w:sz w:val="24"/>
          <w:szCs w:val="21"/>
        </w:rPr>
      </w:pPr>
      <w:r>
        <w:rPr>
          <w:rFonts w:hint="eastAsia" w:ascii="宋体" w:hAnsi="宋体"/>
          <w:sz w:val="24"/>
          <w:szCs w:val="21"/>
        </w:rPr>
        <w:t xml:space="preserve">18.2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1" w:name="_Toc513029227"/>
      <w:r/>
      <w:bookmarkStart w:id="122" w:name="_Toc20823299"/>
      <w:r/>
      <w:bookmarkStart w:id="123"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19.1 交易中心拒绝接收在其规定的提交响应文件截止时间后上传的任何电子响应文件。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24" w:name="_Toc16938544"/>
      <w:r/>
      <w:bookmarkStart w:id="125" w:name="_Toc20823300"/>
      <w:r/>
      <w:bookmarkStart w:id="126" w:name="_Toc513029228"/>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4"/>
      <w:r/>
      <w:bookmarkEnd w:id="125"/>
      <w:r/>
      <w:bookmarkEnd w:id="126"/>
      <w:r/>
      <w:r/>
    </w:p>
    <w:p>
      <w:pPr>
        <w:ind w:firstLine="480"/>
        <w:spacing w:line="480" w:lineRule="exact"/>
        <w:rPr>
          <w:rFonts w:ascii="宋体" w:hAnsi="宋体"/>
          <w:sz w:val="24"/>
          <w:szCs w:val="21"/>
        </w:rPr>
      </w:pPr>
      <w:r>
        <w:rPr>
          <w:rFonts w:hint="eastAsia" w:ascii="宋体" w:hAnsi="宋体"/>
          <w:sz w:val="24"/>
          <w:szCs w:val="21"/>
        </w:rPr>
        <w:t xml:space="preserve">20.1响应文件的撤回</w:t>
      </w:r>
      <w:r/>
    </w:p>
    <w:p>
      <w:pPr>
        <w:ind w:firstLine="480"/>
        <w:spacing w:line="480" w:lineRule="exact"/>
        <w:rPr>
          <w:rFonts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20.1.2供应商撤回电子响应文件，则认为其不再参与本项目磋商活动。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20.2响应文件的修改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7" w:name="_Toc20823301"/>
      <w:r/>
      <w:bookmarkStart w:id="128" w:name="_Toc16938545"/>
      <w:r/>
      <w:bookmarkStart w:id="129" w:name="_Toc120614218"/>
      <w:r/>
      <w:bookmarkStart w:id="130" w:name="_Toc513029229"/>
      <w:r>
        <w:rPr>
          <w:rFonts w:hint="eastAsia" w:ascii="Times New Roman" w:hAnsi="Times New Roman"/>
          <w:b/>
          <w:bCs/>
          <w:sz w:val="32"/>
          <w:szCs w:val="32"/>
        </w:rPr>
        <w:t xml:space="preserve">五、响应文件的解密与评审</w:t>
      </w:r>
      <w:bookmarkEnd w:id="127"/>
      <w:r/>
      <w:bookmarkEnd w:id="128"/>
      <w:r/>
      <w:bookmarkEnd w:id="129"/>
      <w:r/>
      <w:bookmarkEnd w:id="130"/>
      <w:r/>
      <w:bookmarkStart w:id="232" w:name="_GoBack"/>
      <w:r/>
      <w:bookmarkEnd w:id="232"/>
      <w:r/>
      <w:r/>
    </w:p>
    <w:p>
      <w:pPr>
        <w:ind w:firstLine="420"/>
        <w:keepLines/>
        <w:keepNext/>
        <w:rPr>
          <w:rFonts w:ascii="Arial" w:hAnsi="Arial" w:eastAsia="黑体" w:cs="Arial"/>
          <w:sz w:val="28"/>
          <w:szCs w:val="28"/>
        </w:rPr>
        <w:outlineLvl w:val="3"/>
      </w:pPr>
      <w:r/>
      <w:bookmarkStart w:id="131" w:name="_Toc513029230"/>
      <w:r/>
      <w:bookmarkStart w:id="132" w:name="_Toc20823302"/>
      <w:r/>
      <w:bookmarkStart w:id="133" w:name="_Toc16938546"/>
      <w:r>
        <w:rPr>
          <w:rFonts w:ascii="Arial" w:hAnsi="Arial" w:eastAsia="黑体" w:cs="Arial"/>
          <w:sz w:val="28"/>
          <w:szCs w:val="28"/>
        </w:rPr>
        <w:t xml:space="preserve">21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21.1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rPr>
        <w:outlineLvl w:val="3"/>
      </w:pPr>
      <w:r/>
      <w:bookmarkStart w:id="134" w:name="_Toc513029231"/>
      <w:r/>
      <w:bookmarkStart w:id="135" w:name="_Toc16938547"/>
      <w:r/>
      <w:bookmarkStart w:id="136" w:name="_Toc20823303"/>
      <w:r>
        <w:rPr>
          <w:rFonts w:ascii="Arial" w:hAnsi="Arial" w:eastAsia="黑体" w:cs="Arial"/>
          <w:sz w:val="28"/>
          <w:szCs w:val="28"/>
        </w:rPr>
        <w:t xml:space="preserve">22</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22.1交易中心将组织磋商小组对响应文件进行评审。磋商小组由采购人代表和有关技术、经济等方面的专家组成，且人员构成符合政府采购有关规定。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22.2磋商小组独立工作，负责评审所有响应文件并确定成交</w:t>
      </w:r>
      <w:r>
        <w:rPr>
          <w:rFonts w:hint="eastAsia" w:ascii="宋体" w:hAnsi="宋体"/>
          <w:sz w:val="24"/>
          <w:szCs w:val="24"/>
          <w:lang w:val="en-US" w:eastAsia="zh-CN"/>
        </w:rPr>
        <w:t xml:space="preserve">候</w:t>
      </w:r>
      <w:r>
        <w:rPr>
          <w:rFonts w:hint="eastAsia" w:ascii="宋体" w:hAnsi="宋体"/>
          <w:sz w:val="24"/>
          <w:szCs w:val="24"/>
        </w:rPr>
        <w:t xml:space="preserve">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34"/>
      <w:r/>
      <w:bookmarkEnd w:id="135"/>
      <w:r/>
      <w:bookmarkEnd w:id="136"/>
      <w:r/>
      <w:r/>
    </w:p>
    <w:p>
      <w:pPr>
        <w:ind w:firstLine="480"/>
        <w:spacing w:line="500" w:lineRule="exact"/>
        <w:rPr>
          <w:rFonts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在项目评审期间，交易中心将设专门人员与供应商联系。</w:t>
      </w:r>
      <w:r/>
    </w:p>
    <w:p>
      <w:pPr>
        <w:ind w:firstLine="480"/>
        <w:spacing w:line="480" w:lineRule="exact"/>
        <w:rPr>
          <w:rFonts w:ascii="宋体" w:hAnsi="宋体"/>
          <w:sz w:val="24"/>
          <w:szCs w:val="24"/>
        </w:rPr>
      </w:pPr>
      <w:r>
        <w:rPr>
          <w:rFonts w:hint="eastAsia" w:ascii="宋体" w:hAnsi="宋体"/>
          <w:sz w:val="24"/>
          <w:szCs w:val="24"/>
        </w:rPr>
        <w:t xml:space="preserve">23.4 交易中心和磋商小组不向未成交的供应商解释未成交原因，也不公布评审过程中的相关细节。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37" w:name="_Toc20823304"/>
      <w:r/>
      <w:bookmarkStart w:id="138" w:name="_Toc16938548"/>
      <w:r/>
      <w:bookmarkStart w:id="139" w:name="_Toc513029232"/>
      <w:r>
        <w:rPr>
          <w:rFonts w:ascii="Arial" w:hAnsi="Arial" w:eastAsia="黑体" w:cs="Arial"/>
          <w:sz w:val="28"/>
          <w:szCs w:val="28"/>
        </w:rPr>
        <w:t xml:space="preserve">24</w:t>
      </w:r>
      <w:r>
        <w:rPr>
          <w:rFonts w:hint="eastAsia" w:ascii="Arial" w:hAnsi="Arial" w:eastAsia="黑体" w:cs="Arial"/>
          <w:sz w:val="28"/>
          <w:szCs w:val="28"/>
        </w:rPr>
        <w:t xml:space="preserve">、评审过程中的的澄清</w:t>
      </w:r>
      <w:bookmarkEnd w:id="137"/>
      <w:r/>
      <w:bookmarkEnd w:id="138"/>
      <w:r/>
      <w:bookmarkEnd w:id="139"/>
      <w:r/>
      <w:r/>
    </w:p>
    <w:p>
      <w:pPr>
        <w:ind w:firstLine="480"/>
        <w:spacing w:line="460" w:lineRule="exact"/>
        <w:rPr>
          <w:rFonts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接到磋商小组澄清、说明和更正要求的供应商如未按规定做出澄清、说明和更正，其风险由供应商自行承担。</w:t>
      </w:r>
      <w:r/>
    </w:p>
    <w:p>
      <w:pPr>
        <w:ind w:firstLine="420"/>
        <w:keepLines/>
        <w:keepNext/>
        <w:rPr>
          <w:rFonts w:ascii="Arial" w:hAnsi="Arial" w:eastAsia="黑体" w:cs="Arial"/>
          <w:sz w:val="28"/>
          <w:szCs w:val="28"/>
        </w:rPr>
        <w:outlineLvl w:val="3"/>
      </w:pPr>
      <w:r/>
      <w:bookmarkStart w:id="140" w:name="_Toc513029233"/>
      <w:r/>
      <w:bookmarkStart w:id="141" w:name="_Toc20823305"/>
      <w:r/>
      <w:bookmarkStart w:id="142" w:name="_Toc16938549"/>
      <w:r>
        <w:rPr>
          <w:rFonts w:ascii="Arial" w:hAnsi="Arial" w:eastAsia="黑体" w:cs="Arial"/>
          <w:sz w:val="28"/>
          <w:szCs w:val="28"/>
        </w:rPr>
        <w:t xml:space="preserve">25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w:t>
      </w:r>
      <w:r>
        <w:rPr>
          <w:rFonts w:hint="eastAsia" w:ascii="宋体" w:hAnsi="宋体"/>
          <w:bCs/>
          <w:color w:val="000000"/>
          <w:sz w:val="24"/>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查询供应商的信用记录</w:t>
      </w:r>
      <w:r>
        <w:rPr>
          <w:rFonts w:hint="eastAsia" w:ascii="宋体" w:hAnsi="宋体"/>
          <w:bCs/>
          <w:sz w:val="24"/>
          <w:szCs w:val="21"/>
        </w:rPr>
        <w:t xml:space="preserve">，以确定供应商是否具备磋商资格,查询结果留存并归档。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25.3.3供应商同一采购包提交两个（含两个）以上不同的响应文件或者最后报价的。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25.3.4供应商不具备磋商文件中规定资格要求的。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25.3.5供应商的最后报价超过了采购预算或最高限价的。</w:t>
      </w:r>
      <w:r/>
    </w:p>
    <w:p>
      <w:pPr>
        <w:ind w:firstLine="480"/>
        <w:spacing w:line="460" w:lineRule="exact"/>
        <w:rPr>
          <w:rFonts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color w:val="ff0000"/>
          <w:sz w:val="24"/>
          <w:szCs w:val="21"/>
        </w:rPr>
        <w:t xml:space="preserve">（本磋商文件中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60" w:lineRule="exact"/>
        <w:rPr>
          <w:rFonts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w:t>
      </w:r>
      <w:r>
        <w:rPr>
          <w:rFonts w:hint="eastAsia" w:ascii="宋体" w:hAnsi="宋体"/>
          <w:sz w:val="24"/>
          <w:szCs w:val="24"/>
        </w:rPr>
        <w:t xml:space="preserve">采购严重失信行为记录名单，“中国政府采购网"(www.ccgp.gov.cn)列入政府采购严重失信行为记录名单</w:t>
      </w:r>
      <w:r>
        <w:rPr>
          <w:rFonts w:hint="eastAsia" w:ascii="宋体" w:hAnsi="宋体"/>
          <w:bCs/>
          <w:sz w:val="24"/>
          <w:szCs w:val="21"/>
        </w:rPr>
        <w:t xml:space="preserve">。或查询“信用中国”网站后发现供应商存在其他不符合《中华人民共和国政府采购法》第二十二条规定条件的信用记录。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25.3.9 </w:t>
      </w:r>
      <w:r>
        <w:rPr>
          <w:rFonts w:hint="eastAsia" w:ascii="宋体" w:hAnsi="宋体"/>
          <w:bCs/>
          <w:color w:val="ff0000"/>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w:t>
      </w:r>
      <w:r>
        <w:rPr>
          <w:rFonts w:hint="eastAsia" w:ascii="宋体" w:hAnsi="宋体"/>
          <w:bCs/>
          <w:color w:val="000000"/>
          <w:sz w:val="24"/>
          <w:szCs w:val="21"/>
        </w:rPr>
        <w:t xml:space="preserve">处于有效期之内的该节能产品认证证书原件扫描件</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25.3.10响应文件未按照磋商文件要求加盖CA电子公章的。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宋体" w:hAnsi="宋体"/>
          <w:color w:val="ff0000"/>
          <w:sz w:val="24"/>
          <w:szCs w:val="24"/>
        </w:rPr>
      </w:pPr>
      <w:r/>
      <w:bookmarkStart w:id="143" w:name="_Toc513029234"/>
      <w:r/>
      <w:bookmarkStart w:id="144" w:name="_Toc20823306"/>
      <w:r/>
      <w:bookmarkStart w:id="145" w:name="_Toc16938550"/>
      <w:r>
        <w:rPr>
          <w:rFonts w:hint="eastAsia" w:ascii="宋体" w:hAnsi="宋体"/>
          <w:sz w:val="24"/>
          <w:szCs w:val="21"/>
        </w:rPr>
        <w:t xml:space="preserve">25.</w:t>
      </w:r>
      <w:r>
        <w:rPr>
          <w:rFonts w:ascii="宋体" w:hAnsi="宋体"/>
          <w:sz w:val="24"/>
          <w:szCs w:val="21"/>
        </w:rPr>
        <w:t xml:space="preserve">6</w:t>
      </w:r>
      <w:r>
        <w:rPr>
          <w:rFonts w:hint="eastAsia" w:ascii="宋体" w:hAnsi="宋体"/>
          <w:color w:val="ff0000"/>
          <w:sz w:val="24"/>
          <w:szCs w:val="24"/>
          <w:highlight w:val="none"/>
          <w:lang w:val="en-US" w:eastAsia="zh-CN"/>
        </w:rPr>
        <w:t xml:space="preserve">经查实，</w:t>
      </w:r>
      <w:r>
        <w:rPr>
          <w:rFonts w:hint="eastAsia" w:ascii="宋体" w:hAnsi="宋体"/>
          <w:color w:val="ff0000"/>
          <w:sz w:val="24"/>
          <w:szCs w:val="24"/>
        </w:rPr>
        <w:t xml:space="preserve">不同供应商的电子响应文件出自同一台电脑的；不同供应商的响应文件制作工具客户端标识码存在一致的；不同供应商从同一互联网协议地址上传响应文件的，响应文件无效。</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sz w:val="24"/>
          <w:szCs w:val="21"/>
          <w:lang w:val="en-US" w:eastAsia="zh-CN"/>
        </w:rPr>
        <w:t xml:space="preserve">25.7</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25.7.</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25.7.2</w:t>
      </w:r>
      <w:r>
        <w:rPr>
          <w:rFonts w:hint="eastAsia" w:ascii="宋体" w:hAnsi="宋体"/>
          <w:bCs/>
          <w:color w:val="ff0000"/>
          <w:sz w:val="24"/>
          <w:szCs w:val="21"/>
        </w:rPr>
        <w:t xml:space="preserve">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25.7.3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default" w:ascii="宋体" w:hAnsi="宋体" w:eastAsia="宋体"/>
          <w:sz w:val="24"/>
          <w:szCs w:val="21"/>
          <w:lang w:val="en-US" w:eastAsia="zh-CN"/>
        </w:rPr>
      </w:pPr>
      <w:r>
        <w:rPr>
          <w:rFonts w:hint="eastAsia" w:ascii="宋体" w:hAnsi="宋体"/>
          <w:bCs/>
          <w:color w:val="ff0000"/>
          <w:sz w:val="24"/>
          <w:szCs w:val="21"/>
          <w:lang w:val="en-US" w:eastAsia="zh-CN"/>
        </w:rPr>
        <w:t xml:space="preserve">25.7.4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sz w:val="24"/>
          <w:szCs w:val="21"/>
        </w:rPr>
      </w:pPr>
      <w:r>
        <w:rPr>
          <w:rFonts w:hint="eastAsia" w:ascii="宋体" w:hAnsi="宋体"/>
          <w:sz w:val="24"/>
          <w:szCs w:val="21"/>
        </w:rPr>
        <w:t xml:space="preserve">25.</w:t>
      </w:r>
      <w:r>
        <w:rPr>
          <w:rFonts w:hint="eastAsia" w:ascii="宋体" w:hAnsi="宋体"/>
          <w:sz w:val="24"/>
          <w:szCs w:val="21"/>
          <w:lang w:val="en-US" w:eastAsia="zh-CN"/>
        </w:rPr>
        <w:t xml:space="preserve">8</w:t>
      </w:r>
      <w:r>
        <w:rPr>
          <w:rFonts w:hint="eastAsia" w:ascii="宋体" w:hAnsi="宋体"/>
          <w:sz w:val="24"/>
          <w:szCs w:val="21"/>
        </w:rPr>
        <w:t xml:space="preserve">供应商在项目评审全过程中应保持通讯畅通，并安排专人与交易中心及磋商小组联系。</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磋商程序及评审方法和评审标准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26.1磋商程序</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26.2 评审方法和评审标准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26.2.2评审标准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rFonts w:ascii="Times New Roman" w:hAnsi="Times New Roman"/>
          <w:b/>
          <w:bCs/>
          <w:sz w:val="32"/>
          <w:szCs w:val="32"/>
        </w:rPr>
        <w:outlineLvl w:val="2"/>
      </w:pPr>
      <w:r/>
      <w:bookmarkStart w:id="146" w:name="_Toc120614219"/>
      <w:r/>
      <w:bookmarkStart w:id="147" w:name="_Toc513029235"/>
      <w:r/>
      <w:bookmarkStart w:id="148" w:name="_Toc20823307"/>
      <w:r/>
      <w:bookmarkStart w:id="149" w:name="_Toc16938551"/>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50" w:name="_Toc513029238"/>
      <w:r/>
      <w:bookmarkStart w:id="151" w:name="_Toc20823310"/>
      <w:r/>
      <w:bookmarkStart w:id="152" w:name="_Toc16938554"/>
      <w:r>
        <w:rPr>
          <w:rFonts w:hint="eastAsia" w:ascii="黑体" w:hAnsi="宋体" w:eastAsia="黑体"/>
          <w:bCs/>
          <w:sz w:val="30"/>
          <w:szCs w:val="30"/>
        </w:rPr>
        <w:t xml:space="preserve">27、</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p>
    <w:p>
      <w:pPr>
        <w:ind w:firstLine="477"/>
        <w:spacing w:after="156" w:line="560" w:lineRule="exact"/>
        <w:tabs>
          <w:tab w:val="left" w:pos="900" w:leader="none"/>
        </w:tabs>
        <w:rPr>
          <w:rFonts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27.2采购人从评审报告提出的成交候选供应商中，按照排序由高到低的原则确定成交供应商。采购人确定成交供应商后，交易中心将在“江苏政府采购网” “扬州市政府采购网”发布成交结果公告，公告期限为1个工作日。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27.3.2与评审专家、采购人、其他供应商或者交易中心工作人员恶意串通的。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27.3.3向评审专家、采购人或交易中心工作人员行贿或者提供其他不正当利益的。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ascii="黑体" w:hAnsi="宋体" w:eastAsia="黑体"/>
          <w:bCs/>
          <w:sz w:val="30"/>
          <w:szCs w:val="30"/>
        </w:rPr>
        <w:outlineLvl w:val="3"/>
      </w:pPr>
      <w:r/>
      <w:bookmarkStart w:id="153" w:name="_Toc200451960"/>
      <w:r>
        <w:rPr>
          <w:rFonts w:hint="eastAsia" w:ascii="黑体" w:hAnsi="宋体" w:eastAsia="黑体"/>
          <w:bCs/>
          <w:sz w:val="30"/>
          <w:szCs w:val="30"/>
        </w:rPr>
        <w:t xml:space="preserve">28、质疑处理</w:t>
      </w:r>
      <w:bookmarkEnd w:id="153"/>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rPr>
        <w:t xml:space="preserve">28.2.1</w:t>
      </w:r>
      <w:r>
        <w:rPr>
          <w:rFonts w:hint="eastAsia"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28.2.2</w:t>
      </w:r>
      <w:r>
        <w:rPr>
          <w:rFonts w:hint="eastAsia" w:ascii="Times New Roman" w:hAnsi="宋体" w:cs="宋体"/>
          <w:sz w:val="24"/>
          <w:szCs w:val="24"/>
        </w:rPr>
        <w:t xml:space="preserve">对采购过程提出质疑的，为各采购程序环节结束之日。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28.2.3</w:t>
      </w:r>
      <w:r>
        <w:rPr>
          <w:rFonts w:hint="eastAsia"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 供应商（含潜在供应商）对与本项目有关的所有询问、质疑均请向采购人提出，由采购人负责答复。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80" w:lineRule="exact"/>
        <w:rPr>
          <w:rFonts w:ascii="宋体" w:hAnsi="宋体"/>
          <w:sz w:val="24"/>
          <w:szCs w:val="24"/>
        </w:rPr>
      </w:pPr>
      <w:r>
        <w:rPr>
          <w:rFonts w:hint="eastAsia" w:ascii="宋体" w:hAnsi="宋体"/>
          <w:sz w:val="24"/>
          <w:szCs w:val="24"/>
        </w:rPr>
        <w:t xml:space="preserve">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29、成交通知书</w:t>
      </w:r>
      <w:r/>
    </w:p>
    <w:p>
      <w:pPr>
        <w:ind w:firstLine="600"/>
        <w:spacing w:line="480" w:lineRule="exact"/>
        <w:rPr>
          <w:rFonts w:ascii="宋体" w:hAnsi="宋体"/>
          <w:sz w:val="24"/>
          <w:szCs w:val="24"/>
        </w:rPr>
      </w:pPr>
      <w:r>
        <w:rPr>
          <w:rFonts w:hint="eastAsia" w:ascii="宋体" w:hAnsi="宋体"/>
          <w:sz w:val="24"/>
          <w:szCs w:val="24"/>
        </w:rPr>
        <w:t xml:space="preserve">29.1成交结果确定后，交易中心将向成交供应商发出成交通知书。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54" w:name="_Toc120614220"/>
      <w:r/>
      <w:bookmarkStart w:id="155" w:name="_Toc16938552"/>
      <w:r/>
      <w:bookmarkStart w:id="156" w:name="_Toc513029236"/>
      <w:r/>
      <w:bookmarkStart w:id="157" w:name="_Toc20823308"/>
      <w:r>
        <w:rPr>
          <w:rFonts w:hint="eastAsia" w:ascii="Times New Roman" w:hAnsi="Times New Roman"/>
          <w:b/>
          <w:bCs/>
          <w:sz w:val="32"/>
          <w:szCs w:val="32"/>
        </w:rPr>
        <w:t xml:space="preserve">七、授予合同</w:t>
      </w:r>
      <w:bookmarkEnd w:id="154"/>
      <w:r/>
      <w:bookmarkEnd w:id="155"/>
      <w:r/>
      <w:bookmarkEnd w:id="156"/>
      <w:r/>
      <w:bookmarkEnd w:id="157"/>
      <w:r/>
      <w:r/>
    </w:p>
    <w:p>
      <w:pPr>
        <w:ind w:firstLine="600"/>
        <w:keepLines/>
        <w:keepNext/>
        <w:rPr>
          <w:rFonts w:ascii="黑体" w:hAnsi="宋体" w:eastAsia="黑体"/>
          <w:bCs/>
          <w:sz w:val="30"/>
          <w:szCs w:val="30"/>
        </w:rPr>
        <w:outlineLvl w:val="3"/>
      </w:pPr>
      <w:r/>
      <w:bookmarkStart w:id="158" w:name="_Toc20823309"/>
      <w:r/>
      <w:bookmarkStart w:id="159" w:name="_Toc16938553"/>
      <w:r/>
      <w:bookmarkStart w:id="160" w:name="_Toc513029237"/>
      <w:r>
        <w:rPr>
          <w:rFonts w:hint="eastAsia" w:ascii="黑体" w:hAnsi="宋体" w:eastAsia="黑体"/>
          <w:bCs/>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31</w:t>
      </w:r>
      <w:bookmarkEnd w:id="158"/>
      <w:r/>
      <w:bookmarkEnd w:id="159"/>
      <w:r/>
      <w:bookmarkEnd w:id="160"/>
      <w:r/>
      <w:bookmarkStart w:id="161" w:name="_Toc16938558"/>
      <w:r/>
      <w:bookmarkStart w:id="162" w:name="_Toc479757207"/>
      <w:r/>
      <w:bookmarkStart w:id="163" w:name="_Toc513029242"/>
      <w:r/>
      <w:bookmarkStart w:id="164" w:name="_Toc20823314"/>
      <w:r/>
      <w:bookmarkStart w:id="165" w:name="_Toc120614221"/>
      <w:r>
        <w:rPr>
          <w:rFonts w:hint="eastAsia" w:ascii="黑体" w:hAnsi="宋体" w:eastAsia="黑体"/>
          <w:bCs/>
          <w:sz w:val="30"/>
          <w:szCs w:val="30"/>
        </w:rPr>
        <w:t xml:space="preserve">、政府采购履约资金扶持政策</w:t>
      </w:r>
      <w:r/>
    </w:p>
    <w:p>
      <w:pPr>
        <w:ind w:firstLine="555"/>
        <w:spacing w:line="500" w:lineRule="exact"/>
        <w:rPr>
          <w:rFonts w:ascii="宋体" w:hAnsi="宋体"/>
          <w:bCs/>
          <w:sz w:val="24"/>
          <w:szCs w:val="2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sz w:val="24"/>
          <w:szCs w:val="24"/>
        </w:rPr>
        <w:t xml:space="preserve">成交供应商可凭政府采购合同办理融资贷款，详情请见江苏政府采购网“政采贷”专栏。</w:t>
      </w:r>
      <w:r/>
    </w:p>
    <w:p>
      <w:pPr>
        <w:ind w:firstLine="555"/>
        <w:spacing w:line="500" w:lineRule="exact"/>
        <w:rPr>
          <w:rFonts w:ascii="宋体" w:hAnsi="宋体"/>
          <w:bCs/>
          <w:sz w:val="24"/>
          <w:szCs w:val="24"/>
        </w:rPr>
      </w:pPr>
      <w:r>
        <w:rPr>
          <w:rFonts w:ascii="宋体" w:hAnsi="宋体"/>
          <w:bCs/>
          <w:sz w:val="24"/>
          <w:szCs w:val="24"/>
        </w:rPr>
      </w:r>
      <w:r/>
    </w:p>
    <w:p>
      <w:pPr>
        <w:ind w:firstLine="420"/>
        <w:rPr>
          <w:rFonts w:ascii="Times New Roman" w:hAnsi="Times New Roman"/>
          <w:szCs w:val="21"/>
          <w:lang w:val="zh-CN" w:eastAsia="zh-CN"/>
        </w:rPr>
      </w:pPr>
      <w:r>
        <w:rPr>
          <w:rFonts w:ascii="Times New Roman" w:hAnsi="Times New Roman"/>
          <w:szCs w:val="21"/>
          <w:lang w:val="zh-CN" w:eastAsia="zh-CN"/>
        </w:rPr>
      </w:r>
      <w:r/>
    </w:p>
    <w:p>
      <w:pPr>
        <w:spacing w:line="500" w:lineRule="exact"/>
        <w:rPr>
          <w:rFonts w:ascii="宋体" w:hAnsi="宋体"/>
          <w:bCs/>
          <w:sz w:val="24"/>
          <w:szCs w:val="24"/>
        </w:rPr>
      </w:pPr>
      <w:r>
        <w:rPr>
          <w:rFonts w:ascii="宋体" w:hAnsi="宋体"/>
          <w:bCs/>
          <w:sz w:val="24"/>
          <w:szCs w:val="24"/>
        </w:r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第三章  合同</w:t>
      </w:r>
      <w:bookmarkEnd w:id="161"/>
      <w:r/>
      <w:bookmarkEnd w:id="162"/>
      <w:r/>
      <w:bookmarkEnd w:id="163"/>
      <w:r/>
      <w:bookmarkEnd w:id="164"/>
      <w:r/>
      <w:bookmarkEnd w:id="165"/>
      <w:r>
        <w:rPr>
          <w:rFonts w:hint="eastAsia" w:ascii="黑体" w:hAnsi="Times New Roman" w:eastAsia="黑体"/>
          <w:sz w:val="44"/>
          <w:szCs w:val="44"/>
        </w:rPr>
        <w:t xml:space="preserve">文本</w:t>
      </w:r>
      <w:r/>
    </w:p>
    <w:p>
      <w:pPr>
        <w:jc w:val="center"/>
        <w:spacing w:before="145" w:after="145"/>
        <w:rPr>
          <w:rFonts w:ascii="宋体" w:hAnsi="宋体"/>
          <w:b/>
          <w:color w:val="000000"/>
          <w:sz w:val="30"/>
        </w:rPr>
        <w:outlineLvl w:val="0"/>
      </w:pPr>
      <w:r/>
      <w:bookmarkStart w:id="166" w:name="_Toc16938559"/>
      <w:r/>
      <w:bookmarkStart w:id="167" w:name="_Toc513029243"/>
      <w:r/>
      <w:bookmarkStart w:id="168"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41"/>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41"/>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/成交供应商</w:t>
      </w:r>
      <w:r>
        <w:rPr>
          <w:rFonts w:hAnsi="宋体"/>
          <w:color w:val="000000"/>
          <w:sz w:val="24"/>
          <w:szCs w:val="24"/>
        </w:rPr>
        <w:t xml:space="preserve">）_________</w:t>
      </w:r>
      <w:r/>
    </w:p>
    <w:p>
      <w:pPr>
        <w:pStyle w:val="941"/>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项目磋商</w:t>
      </w:r>
      <w:r>
        <w:rPr>
          <w:rFonts w:hint="eastAsia" w:hAnsi="宋体"/>
          <w:color w:val="000000"/>
          <w:sz w:val="24"/>
          <w:szCs w:val="24"/>
        </w:rPr>
        <w:t xml:space="preserve">采购</w:t>
      </w:r>
      <w:r>
        <w:rPr>
          <w:rFonts w:hAnsi="宋体"/>
          <w:color w:val="000000"/>
          <w:sz w:val="24"/>
          <w:szCs w:val="24"/>
        </w:rPr>
        <w:t xml:space="preserve">的结果，签署本合同。</w:t>
      </w:r>
      <w:r/>
    </w:p>
    <w:p>
      <w:pPr>
        <w:pStyle w:val="941"/>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1"/>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41"/>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41"/>
        <w:spacing w:before="120" w:after="120"/>
        <w:rPr>
          <w:rFonts w:hAnsi="宋体"/>
          <w:color w:val="000000"/>
          <w:sz w:val="24"/>
          <w:szCs w:val="24"/>
        </w:rPr>
      </w:pPr>
      <w:r>
        <w:rPr>
          <w:rFonts w:hint="eastAsia" w:hAnsi="宋体"/>
          <w:color w:val="000000"/>
          <w:sz w:val="24"/>
          <w:szCs w:val="24"/>
        </w:rPr>
        <w:t xml:space="preserve">1.3 标的数量（规模）：</w:t>
      </w:r>
      <w:r/>
    </w:p>
    <w:p>
      <w:pPr>
        <w:pStyle w:val="941"/>
        <w:spacing w:before="120" w:after="120"/>
        <w:rPr>
          <w:rFonts w:hAnsi="宋体"/>
          <w:color w:val="000000"/>
          <w:sz w:val="24"/>
          <w:szCs w:val="24"/>
        </w:rPr>
      </w:pPr>
      <w:r>
        <w:rPr>
          <w:rFonts w:hint="eastAsia" w:hAnsi="宋体"/>
          <w:color w:val="000000"/>
          <w:sz w:val="24"/>
          <w:szCs w:val="24"/>
        </w:rPr>
        <w:t xml:space="preserve">1.4 履行时间（期限）：</w:t>
      </w:r>
      <w:r/>
    </w:p>
    <w:p>
      <w:pPr>
        <w:pStyle w:val="941"/>
        <w:spacing w:before="120" w:after="120"/>
        <w:rPr>
          <w:rFonts w:hAnsi="宋体"/>
          <w:color w:val="000000"/>
          <w:sz w:val="24"/>
          <w:szCs w:val="24"/>
        </w:rPr>
      </w:pPr>
      <w:r>
        <w:rPr>
          <w:rFonts w:hint="eastAsia" w:hAnsi="宋体"/>
          <w:color w:val="000000"/>
          <w:sz w:val="24"/>
          <w:szCs w:val="24"/>
        </w:rPr>
        <w:t xml:space="preserve">1.5 履行地点：</w:t>
      </w:r>
      <w:r/>
    </w:p>
    <w:p>
      <w:pPr>
        <w:pStyle w:val="94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41"/>
        <w:spacing w:before="120" w:after="120"/>
        <w:rPr>
          <w:rFonts w:hAnsi="宋体"/>
          <w:b/>
          <w:color w:val="000000"/>
          <w:sz w:val="24"/>
          <w:szCs w:val="24"/>
        </w:rPr>
      </w:pPr>
      <w:r>
        <w:rPr>
          <w:rFonts w:hAnsi="宋体"/>
          <w:b/>
          <w:color w:val="000000"/>
          <w:sz w:val="24"/>
          <w:szCs w:val="24"/>
        </w:rPr>
        <w:t xml:space="preserve">二、合同金额</w:t>
      </w:r>
      <w:r/>
    </w:p>
    <w:p>
      <w:pPr>
        <w:pStyle w:val="941"/>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1"/>
        <w:spacing w:before="120" w:after="120"/>
        <w:rPr>
          <w:rFonts w:hAnsi="宋体"/>
          <w:b/>
          <w:color w:val="000000"/>
          <w:sz w:val="24"/>
          <w:szCs w:val="24"/>
        </w:rPr>
      </w:pPr>
      <w:r>
        <w:rPr>
          <w:rFonts w:hAnsi="宋体"/>
          <w:b/>
          <w:color w:val="000000"/>
          <w:sz w:val="24"/>
          <w:szCs w:val="24"/>
        </w:rPr>
        <w:t xml:space="preserve">三、技术资料</w:t>
      </w:r>
      <w:r/>
    </w:p>
    <w:p>
      <w:pPr>
        <w:pStyle w:val="941"/>
        <w:ind w:left="410" w:hanging="410"/>
        <w:spacing w:before="120" w:after="120"/>
        <w:rPr>
          <w:rFonts w:hAnsi="宋体"/>
          <w:color w:val="000000"/>
          <w:sz w:val="24"/>
          <w:szCs w:val="24"/>
        </w:rPr>
      </w:pPr>
      <w:r>
        <w:rPr>
          <w:rFonts w:hAnsi="宋体"/>
          <w:color w:val="000000"/>
          <w:sz w:val="24"/>
          <w:szCs w:val="24"/>
        </w:rPr>
        <w:t xml:space="preserve">3.1乙方应按磋商文件规定的时间向甲方提供服务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41"/>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1"/>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41"/>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1"/>
        <w:spacing w:before="120" w:after="120"/>
        <w:rPr>
          <w:rFonts w:hAnsi="宋体"/>
          <w:color w:val="000000"/>
          <w:sz w:val="24"/>
          <w:szCs w:val="24"/>
          <w:u w:val="single"/>
        </w:rPr>
      </w:pPr>
      <w:r>
        <w:rPr>
          <w:rFonts w:hAnsi="宋体"/>
          <w:b/>
          <w:color w:val="000000"/>
          <w:sz w:val="24"/>
          <w:szCs w:val="24"/>
        </w:rPr>
        <w:t xml:space="preserve">五、产权担保</w:t>
      </w:r>
      <w:r/>
    </w:p>
    <w:p>
      <w:pPr>
        <w:pStyle w:val="941"/>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41"/>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41"/>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941"/>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41"/>
        <w:ind w:left="408" w:hanging="408"/>
        <w:spacing w:before="120" w:after="120"/>
        <w:rPr>
          <w:rFonts w:hint="eastAsia" w:hAnsi="宋体"/>
          <w:color w:val="0000ff"/>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941"/>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941"/>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941"/>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941"/>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41"/>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eastAsia="宋体" w:cs="宋体"/>
          <w:sz w:val="24"/>
          <w:szCs w:val="24"/>
        </w:rPr>
        <w:t xml:space="preserve">合同签订后，乙方向甲方开具发票，甲方自收到发票后10个工作日内支付合同总价的30%；完成合同约定全部工作量并通过省</w:t>
      </w:r>
      <w:r>
        <w:rPr>
          <w:rFonts w:hint="eastAsia" w:ascii="宋体" w:hAnsi="宋体" w:eastAsia="宋体" w:cs="宋体"/>
          <w:sz w:val="24"/>
          <w:szCs w:val="24"/>
          <w:lang w:val="en-US" w:eastAsia="zh-CN"/>
        </w:rPr>
        <w:t xml:space="preserve">质检站</w:t>
      </w:r>
      <w:r>
        <w:rPr>
          <w:rFonts w:hint="eastAsia" w:ascii="宋体" w:hAnsi="宋体" w:eastAsia="宋体" w:cs="宋体"/>
          <w:sz w:val="24"/>
          <w:szCs w:val="24"/>
        </w:rPr>
        <w:t xml:space="preserve">验收后，乙方向甲方开具发票，甲方自收到发票后10个工作日内支付合同总价的70%。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1"/>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4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不符合合同规定及磋商文件规定标准的，甲方有权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4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41"/>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4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1"/>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41"/>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1"/>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1"/>
        <w:ind w:firstLine="240"/>
        <w:spacing w:before="120" w:after="120" w:line="0" w:lineRule="atLeast"/>
        <w:rPr>
          <w:color w:val="000000"/>
        </w:rPr>
      </w:pPr>
      <w:r>
        <w:rPr>
          <w:rFonts w:hint="eastAsia" w:hAnsi="宋体"/>
          <w:color w:val="000000"/>
          <w:sz w:val="24"/>
          <w:szCs w:val="24"/>
        </w:rPr>
        <w:t xml:space="preserve">联系电话：                    联系电话：          </w:t>
      </w:r>
      <w:r/>
    </w:p>
    <w:p>
      <w:pPr>
        <w:pStyle w:val="941"/>
        <w:jc w:val="center"/>
        <w:spacing w:before="120" w:after="120" w:line="0" w:lineRule="atLeast"/>
        <w:rPr>
          <w:color w:val="000000"/>
        </w:rPr>
      </w:pPr>
      <w:r>
        <w:rPr>
          <w:rFonts w:hint="eastAsia"/>
          <w:color w:val="000000"/>
        </w:rPr>
        <w:t xml:space="preserve">                                         </w:t>
      </w:r>
      <w:r/>
    </w:p>
    <w:p>
      <w:pPr>
        <w:pStyle w:val="941"/>
        <w:jc w:val="right"/>
        <w:spacing w:before="120" w:after="120" w:line="0" w:lineRule="atLeast"/>
        <w:rPr>
          <w:color w:val="000000"/>
          <w:sz w:val="24"/>
          <w:szCs w:val="24"/>
        </w:rPr>
      </w:pPr>
      <w:r>
        <w:rPr>
          <w:rFonts w:hint="eastAsia"/>
          <w:color w:val="000000"/>
          <w:sz w:val="24"/>
          <w:szCs w:val="24"/>
        </w:rPr>
        <w:t xml:space="preserve"> </w:t>
      </w:r>
      <w:r/>
    </w:p>
    <w:p>
      <w:pPr>
        <w:pStyle w:val="941"/>
        <w:jc w:val="right"/>
        <w:spacing w:before="120" w:after="120" w:line="0" w:lineRule="atLeast"/>
        <w:rPr>
          <w:rFonts w:hAnsi="宋体"/>
          <w:color w:val="000000"/>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w:t>
      </w:r>
      <w:r>
        <w:rPr>
          <w:rFonts w:hAnsi="宋体"/>
          <w:color w:val="000000"/>
          <w:sz w:val="24"/>
          <w:szCs w:val="24"/>
        </w:rPr>
        <w:t xml:space="preserve">日</w:t>
      </w:r>
      <w:bookmarkEnd w:id="166"/>
      <w:r/>
      <w:bookmarkEnd w:id="167"/>
      <w:r/>
      <w:bookmarkEnd w:id="168"/>
      <w:r/>
      <w:bookmarkStart w:id="169" w:name="_Hlt16619369"/>
      <w:r/>
      <w:bookmarkEnd w:id="169"/>
      <w:r/>
      <w:bookmarkStart w:id="170" w:name="_Hlt16619350"/>
      <w:r/>
      <w:bookmarkStart w:id="171" w:name="_Toc20823346"/>
      <w:r/>
      <w:bookmarkStart w:id="172" w:name="_Toc16938590"/>
      <w:r/>
      <w:bookmarkStart w:id="173" w:name="_Toc120614244"/>
      <w:r/>
      <w:bookmarkStart w:id="174" w:name="_Toc479757211"/>
      <w:r/>
      <w:bookmarkStart w:id="175" w:name="_Toc462564139"/>
      <w:r/>
      <w:r/>
    </w:p>
    <w:p>
      <w:pPr>
        <w:pStyle w:val="941"/>
        <w:jc w:val="right"/>
        <w:spacing w:before="120" w:after="120" w:line="0" w:lineRule="atLeast"/>
        <w:rPr>
          <w:rFonts w:ascii="黑体" w:eastAsia="黑体"/>
          <w:bCs/>
          <w:sz w:val="44"/>
        </w:rPr>
      </w:pPr>
      <w:r>
        <w:rPr>
          <w:rFonts w:ascii="黑体" w:eastAsia="黑体"/>
          <w:bCs/>
          <w:sz w:val="44"/>
        </w:r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w:t>
      </w:r>
      <w:bookmarkEnd w:id="170"/>
      <w:r>
        <w:rPr>
          <w:rFonts w:hint="eastAsia" w:ascii="黑体" w:hAnsi="Times New Roman" w:eastAsia="黑体"/>
          <w:sz w:val="44"/>
          <w:szCs w:val="44"/>
        </w:rPr>
        <w:t xml:space="preserve">四章 采购需求</w:t>
      </w:r>
      <w:bookmarkEnd w:id="171"/>
      <w:r/>
      <w:bookmarkEnd w:id="172"/>
      <w:r/>
      <w:bookmarkEnd w:id="173"/>
      <w:r/>
      <w:bookmarkStart w:id="176" w:name="_Toc49090575"/>
      <w:r/>
      <w:bookmarkStart w:id="177" w:name="_Toc26554093"/>
      <w:r/>
      <w:r/>
    </w:p>
    <w:p>
      <w:pPr>
        <w:ind w:left="493" w:hanging="493"/>
        <w:keepLines w:val="0"/>
        <w:keepNext w:val="0"/>
        <w:pageBreakBefore w:val="0"/>
        <w:spacing w:before="313" w:line="400" w:lineRule="exact"/>
        <w:widowControl w:val="off"/>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keepLines w:val="0"/>
        <w:keepNext w:val="0"/>
        <w:pageBreakBefore w:val="0"/>
        <w:spacing w:line="400" w:lineRule="exact"/>
        <w:rPr>
          <w:bCs/>
          <w:iCs/>
          <w:sz w:val="24"/>
          <w:szCs w:val="24"/>
          <w:highlight w:val="yellow"/>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rPr>
        <w:t xml:space="preserve">政府采购</w:t>
      </w:r>
      <w:r>
        <w:rPr>
          <w:rFonts w:hint="eastAsia" w:ascii="Times New Roman" w:hAnsi="Times New Roman"/>
          <w:bCs/>
          <w:iCs/>
          <w:sz w:val="24"/>
          <w:szCs w:val="24"/>
        </w:rPr>
        <w:t xml:space="preserve">品目清单”强制采购范围，响应文件中必须提供国家确定的认证机构出具的、处于有效期之内的该节能产品认证证书。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rPr>
        <w:t xml:space="preserve">。</w:t>
      </w:r>
      <w:r/>
    </w:p>
    <w:p>
      <w:pPr>
        <w:ind w:firstLine="480"/>
        <w:keepLines w:val="0"/>
        <w:keepNext w:val="0"/>
        <w:pageBreakBefore w:val="0"/>
        <w:spacing w:line="400" w:lineRule="exact"/>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供应商对于产品的包装应按照“财办库〔2020〕123号《关于印发《商品包装政府采购需求标准（试行）》、《快递包装政府采购需求标准（试行）》的通知》”执行。</w:t>
      </w:r>
      <w:r/>
    </w:p>
    <w:p>
      <w:pPr>
        <w:ind w:firstLine="480"/>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2817"/>
        <w:gridCol w:w="3764"/>
      </w:tblGrid>
      <w:tr>
        <w:trPr>
          <w:cantSplit/>
          <w:jc w:val="center"/>
        </w:trPr>
        <w:tc>
          <w:tcPr>
            <w:tcW w:w="1332"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采购包号</w:t>
            </w:r>
            <w:r/>
          </w:p>
        </w:tc>
        <w:tc>
          <w:tcPr>
            <w:tcW w:w="2817"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64"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332"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2817" w:type="dxa"/>
            <w:vAlign w:val="top"/>
            <w:textDirection w:val="lrTb"/>
            <w:noWrap w:val="false"/>
          </w:tcPr>
          <w:p>
            <w:pPr>
              <w:ind w:firstLine="480"/>
              <w:jc w:val="center"/>
              <w:spacing w:line="0" w:lineRule="atLeast"/>
              <w:rPr>
                <w:rFonts w:ascii="宋体" w:hAnsi="宋体" w:eastAsia="宋体" w:cs="Times New Roman"/>
                <w:color w:val="000000"/>
                <w:sz w:val="24"/>
                <w:szCs w:val="24"/>
                <w:lang w:val="en-US" w:eastAsia="zh-CN" w:bidi="ar-SA"/>
              </w:rPr>
            </w:pPr>
            <w:r>
              <w:rPr>
                <w:rFonts w:hint="eastAsia" w:ascii="宋体" w:hAnsi="宋体" w:eastAsia="宋体" w:cs="宋体"/>
                <w:sz w:val="24"/>
                <w:szCs w:val="24"/>
              </w:rPr>
              <w:t xml:space="preserve">高邮市20</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年度国土变更调查及日常国土变更调查工作</w:t>
            </w:r>
            <w:r/>
          </w:p>
        </w:tc>
        <w:tc>
          <w:tcPr>
            <w:shd w:val="clear" w:color="auto" w:fill="auto"/>
            <w:tcW w:w="3764" w:type="dxa"/>
            <w:vAlign w:val="center"/>
            <w:textDirection w:val="lrTb"/>
            <w:noWrap w:val="false"/>
          </w:tcPr>
          <w:p>
            <w:pPr>
              <w:jc w:val="center"/>
              <w:spacing w:line="0" w:lineRule="atLeast"/>
              <w:rPr>
                <w:rFonts w:ascii="宋体" w:hAnsi="宋体" w:eastAsia="宋体" w:cs="Times New Roman"/>
                <w:color w:val="000000"/>
                <w:sz w:val="24"/>
                <w:szCs w:val="24"/>
                <w:lang w:val="en-US" w:eastAsia="zh-CN" w:bidi="ar-SA"/>
              </w:rPr>
            </w:pPr>
            <w:r>
              <w:rPr>
                <w:rFonts w:hint="eastAsia" w:ascii="宋体" w:hAnsi="宋体"/>
                <w:color w:val="000000"/>
                <w:sz w:val="24"/>
                <w:szCs w:val="24"/>
              </w:rPr>
              <w:t xml:space="preserve">其他未列明行业</w:t>
            </w:r>
            <w:r/>
          </w:p>
        </w:tc>
      </w:tr>
    </w:tbl>
    <w:p>
      <w:pPr>
        <w:keepLines w:val="0"/>
        <w:keepNext w:val="0"/>
        <w:pageBreakBefore w:val="0"/>
        <w:spacing w:line="360" w:lineRule="auto"/>
        <w:widowControl w:val="off"/>
        <w:rPr>
          <w:rFonts w:hint="eastAsia" w:ascii="宋体" w:hAnsi="宋体" w:cs="宋体"/>
          <w:b/>
          <w:bCs/>
          <w:color w:val="auto"/>
          <w:sz w:val="24"/>
          <w:szCs w:val="24"/>
          <w:lang w:val="zh-CN"/>
        </w:rPr>
      </w:pPr>
      <w:r/>
      <w:bookmarkStart w:id="178" w:name="_Toc120614281"/>
      <w:r>
        <w:rPr>
          <w:rFonts w:hint="eastAsia" w:ascii="宋体" w:hAnsi="宋体" w:cs="宋体"/>
          <w:b/>
          <w:bCs/>
          <w:color w:val="auto"/>
          <w:sz w:val="24"/>
          <w:szCs w:val="24"/>
          <w:lang w:val="en-US" w:eastAsia="zh-CN"/>
        </w:rPr>
        <w:t xml:space="preserve">二</w:t>
      </w:r>
      <w:r>
        <w:rPr>
          <w:rFonts w:hint="eastAsia" w:ascii="宋体" w:hAnsi="宋体" w:cs="宋体"/>
          <w:b/>
          <w:bCs/>
          <w:color w:val="auto"/>
          <w:sz w:val="24"/>
          <w:szCs w:val="24"/>
          <w:lang w:val="zh-CN"/>
        </w:rPr>
        <w:t xml:space="preserve">、项目背景：</w:t>
      </w:r>
      <w:r/>
    </w:p>
    <w:p>
      <w:pPr>
        <w:ind w:firstLine="480"/>
        <w:keepLines w:val="0"/>
        <w:keepNext w:val="0"/>
        <w:pageBreakBefore w:val="0"/>
        <w:spacing w:line="360" w:lineRule="auto"/>
        <w:widowControl w:val="off"/>
        <w:rPr>
          <w:rFonts w:ascii="宋体" w:hAnsi="宋体" w:cs="宋体"/>
          <w:color w:val="ff0000"/>
          <w:sz w:val="24"/>
          <w:szCs w:val="24"/>
        </w:rPr>
      </w:pPr>
      <w:r/>
      <w:bookmarkStart w:id="179" w:name="_Toc14594"/>
      <w:r>
        <w:rPr>
          <w:rFonts w:hint="eastAsia" w:ascii="宋体" w:hAnsi="宋体" w:cs="宋体"/>
          <w:color w:val="auto"/>
          <w:sz w:val="24"/>
          <w:szCs w:val="24"/>
          <w:lang w:val="en-US" w:eastAsia="zh-CN"/>
        </w:rPr>
        <w:t xml:space="preserve">根据自然资源部印发《自然资源部办公厅国家林业和草原局办公室关于开展2025年度全国国士变更调查及森林草原湿地荒漠调查监测工作的通知》（</w:t>
      </w:r>
      <w:r>
        <w:rPr>
          <w:rFonts w:hint="eastAsia" w:ascii="宋体" w:hAnsi="宋体" w:cs="宋体"/>
          <w:color w:val="auto"/>
          <w:sz w:val="24"/>
          <w:szCs w:val="24"/>
        </w:rPr>
        <w:t xml:space="preserve">自然资办发</w:t>
      </w:r>
      <w:r>
        <w:rPr>
          <w:rFonts w:hint="eastAsia" w:ascii="宋体" w:hAnsi="宋体" w:cs="宋体"/>
          <w:color w:val="auto"/>
          <w:sz w:val="24"/>
          <w:szCs w:val="24"/>
          <w:lang w:val="en-US" w:eastAsia="zh-CN"/>
        </w:rPr>
        <w:t xml:space="preserve">〔2025〕33号</w:t>
      </w:r>
      <w:r>
        <w:rPr>
          <w:rFonts w:hint="eastAsia" w:ascii="宋体" w:hAnsi="宋体" w:cs="宋体"/>
          <w:color w:val="auto"/>
          <w:sz w:val="24"/>
          <w:szCs w:val="24"/>
        </w:rPr>
        <w:t xml:space="preserve">），依据《中华人民共和国土地管理法》、《土地调查条例》、《土地调查条例实施办法》、《第三次全国国土调查技术规程》（TD/T 1055-2019）和《国土变更调查技术</w:t>
      </w:r>
      <w:r>
        <w:rPr>
          <w:rFonts w:hint="eastAsia" w:ascii="宋体" w:hAnsi="宋体" w:cs="宋体"/>
          <w:color w:val="auto"/>
          <w:sz w:val="24"/>
          <w:szCs w:val="24"/>
          <w:lang w:val="en-US" w:eastAsia="zh-CN"/>
        </w:rPr>
        <w:t xml:space="preserve">要求</w:t>
      </w:r>
      <w:r>
        <w:rPr>
          <w:rFonts w:hint="eastAsia" w:ascii="宋体" w:hAnsi="宋体" w:cs="宋体"/>
          <w:color w:val="auto"/>
          <w:sz w:val="24"/>
          <w:szCs w:val="24"/>
        </w:rPr>
        <w:t xml:space="preserve">（202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年度试用）》，按照《2025年度全国国士变更调查及森林草原湿地荒漠调查监测实施方案》、江苏省以及</w:t>
      </w:r>
      <w:r>
        <w:rPr>
          <w:rFonts w:hint="eastAsia" w:ascii="宋体" w:hAnsi="宋体" w:cs="宋体"/>
          <w:color w:val="auto"/>
          <w:sz w:val="24"/>
          <w:szCs w:val="24"/>
          <w:lang w:val="en-US" w:eastAsia="zh-CN"/>
        </w:rPr>
        <w:t xml:space="preserve">扬州</w:t>
      </w:r>
      <w:r>
        <w:rPr>
          <w:rFonts w:hint="eastAsia" w:ascii="宋体" w:hAnsi="宋体" w:cs="宋体"/>
          <w:color w:val="auto"/>
          <w:sz w:val="24"/>
          <w:szCs w:val="24"/>
        </w:rPr>
        <w:t xml:space="preserve">市规划和自然资源主管部门国土变更调查工作要求，在</w:t>
      </w:r>
      <w:r>
        <w:rPr>
          <w:rFonts w:hint="eastAsia" w:ascii="宋体" w:hAnsi="宋体" w:cs="宋体"/>
          <w:color w:val="auto"/>
          <w:sz w:val="24"/>
          <w:szCs w:val="24"/>
          <w:lang w:val="en-US" w:eastAsia="zh-CN"/>
        </w:rPr>
        <w:t xml:space="preserve">高邮市</w:t>
      </w:r>
      <w:r>
        <w:rPr>
          <w:rFonts w:hint="eastAsia" w:ascii="宋体" w:hAnsi="宋体" w:cs="宋体"/>
          <w:color w:val="auto"/>
          <w:sz w:val="24"/>
          <w:szCs w:val="24"/>
        </w:rPr>
        <w:t xml:space="preserve">202</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年度国土变更调查成果基础上，利用最新卫星遥感影像，通过实地核查，掌握</w:t>
      </w:r>
      <w:r>
        <w:rPr>
          <w:rFonts w:hint="eastAsia" w:ascii="宋体" w:hAnsi="宋体" w:cs="宋体"/>
          <w:color w:val="auto"/>
          <w:sz w:val="24"/>
          <w:szCs w:val="24"/>
          <w:lang w:val="en-US" w:eastAsia="zh-CN"/>
        </w:rPr>
        <w:t xml:space="preserve">高邮市</w:t>
      </w:r>
      <w:r>
        <w:rPr>
          <w:rFonts w:hint="eastAsia" w:ascii="宋体" w:hAnsi="宋体" w:cs="宋体"/>
          <w:color w:val="auto"/>
          <w:sz w:val="24"/>
          <w:szCs w:val="24"/>
        </w:rPr>
        <w:t xml:space="preserve">202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年度土地利用的变化情况，满足当前自然资源管理工作的需要，更新变更调查数据库，保障国土调查成果的现势性和准确性，特开展</w:t>
      </w:r>
      <w:r>
        <w:rPr>
          <w:rFonts w:hint="eastAsia" w:ascii="宋体" w:hAnsi="宋体" w:cs="宋体"/>
          <w:color w:val="auto"/>
          <w:sz w:val="24"/>
          <w:szCs w:val="24"/>
          <w:lang w:val="en-US" w:eastAsia="zh-CN"/>
        </w:rPr>
        <w:t xml:space="preserve">高邮市</w:t>
      </w:r>
      <w:r>
        <w:rPr>
          <w:rFonts w:hint="eastAsia" w:ascii="宋体" w:hAnsi="宋体" w:cs="宋体"/>
          <w:color w:val="auto"/>
          <w:sz w:val="24"/>
          <w:szCs w:val="24"/>
        </w:rPr>
        <w:t xml:space="preserve">202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年度国土变更调查及日常国土变更调查工作。</w:t>
      </w:r>
      <w:r/>
    </w:p>
    <w:p>
      <w:pPr>
        <w:keepLines w:val="0"/>
        <w:keepNext w:val="0"/>
        <w:pageBreakBefore w:val="0"/>
        <w:spacing w:line="360" w:lineRule="auto"/>
        <w:widowControl w:val="off"/>
        <w:rPr>
          <w:rFonts w:hint="eastAsia" w:ascii="宋体" w:hAnsi="宋体" w:cs="宋体"/>
          <w:b/>
          <w:bCs/>
          <w:color w:val="000000"/>
          <w:sz w:val="24"/>
          <w:szCs w:val="24"/>
          <w:lang w:val="zh-CN"/>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lang w:val="zh-CN"/>
        </w:rPr>
        <w:t xml:space="preserve">、总体目标</w:t>
      </w:r>
      <w:bookmarkEnd w:id="179"/>
      <w:r>
        <w:rPr>
          <w:rFonts w:hint="eastAsia" w:ascii="宋体" w:hAnsi="宋体" w:cs="宋体"/>
          <w:b/>
          <w:bCs/>
          <w:color w:val="000000"/>
          <w:sz w:val="24"/>
          <w:szCs w:val="24"/>
          <w:lang w:val="zh-CN"/>
        </w:rPr>
        <w:t xml:space="preserve">：</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坚持以《土地调查条例》</w:t>
      </w:r>
      <w:r>
        <w:rPr>
          <w:rFonts w:hint="eastAsia" w:ascii="宋体" w:hAnsi="宋体" w:cs="宋体"/>
          <w:color w:val="auto"/>
          <w:sz w:val="24"/>
          <w:szCs w:val="24"/>
        </w:rPr>
        <w:t xml:space="preserve">《国土变更调查技术</w:t>
      </w:r>
      <w:r>
        <w:rPr>
          <w:rFonts w:hint="eastAsia" w:ascii="宋体" w:hAnsi="宋体" w:cs="宋体"/>
          <w:color w:val="auto"/>
          <w:sz w:val="24"/>
          <w:szCs w:val="24"/>
          <w:lang w:val="en-US" w:eastAsia="zh-CN"/>
        </w:rPr>
        <w:t xml:space="preserve">要求</w:t>
      </w:r>
      <w:r>
        <w:rPr>
          <w:rFonts w:hint="eastAsia" w:ascii="宋体" w:hAnsi="宋体" w:cs="宋体"/>
          <w:color w:val="auto"/>
          <w:sz w:val="24"/>
          <w:szCs w:val="24"/>
        </w:rPr>
        <w:t xml:space="preserve">（202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年度试用）》</w:t>
      </w:r>
      <w:r>
        <w:rPr>
          <w:rFonts w:hint="eastAsia" w:ascii="宋体" w:hAnsi="宋体" w:cs="宋体"/>
          <w:color w:val="000000"/>
          <w:sz w:val="24"/>
          <w:szCs w:val="24"/>
        </w:rPr>
        <w:t xml:space="preserve">为依据，以</w:t>
      </w:r>
      <w:r>
        <w:rPr>
          <w:rFonts w:hint="eastAsia" w:ascii="宋体" w:hAnsi="宋体" w:cs="宋体"/>
          <w:color w:val="000000"/>
          <w:sz w:val="24"/>
          <w:szCs w:val="24"/>
          <w:lang w:val="en-US" w:eastAsia="zh-CN"/>
        </w:rPr>
        <w:t xml:space="preserve">《自然资源部办公厅国家林业和草原局办公室关于开展2025年度全国国士变更调查及森林草原湿地荒漠调查监测工作的通知》（</w:t>
      </w:r>
      <w:r>
        <w:rPr>
          <w:rFonts w:hint="eastAsia" w:ascii="宋体" w:hAnsi="宋体" w:cs="宋体"/>
          <w:color w:val="000000"/>
          <w:sz w:val="24"/>
          <w:szCs w:val="24"/>
        </w:rPr>
        <w:t xml:space="preserve">自然资办发</w:t>
      </w:r>
      <w:r>
        <w:rPr>
          <w:rFonts w:hint="eastAsia" w:ascii="宋体" w:hAnsi="宋体" w:cs="宋体"/>
          <w:color w:val="000000"/>
          <w:sz w:val="24"/>
          <w:szCs w:val="24"/>
          <w:lang w:val="en-US" w:eastAsia="zh-CN"/>
        </w:rPr>
        <w:t xml:space="preserve">〔2025〕33号</w:t>
      </w:r>
      <w:r>
        <w:rPr>
          <w:rFonts w:hint="eastAsia" w:ascii="宋体" w:hAnsi="宋体" w:cs="宋体"/>
          <w:color w:val="000000"/>
          <w:sz w:val="24"/>
          <w:szCs w:val="24"/>
        </w:rPr>
        <w:t xml:space="preserve">）为指导，利用</w:t>
      </w:r>
      <w:r>
        <w:rPr>
          <w:rFonts w:hint="eastAsia" w:ascii="宋体" w:hAnsi="宋体" w:cs="宋体"/>
          <w:color w:val="000000"/>
          <w:sz w:val="24"/>
          <w:szCs w:val="24"/>
          <w:lang w:val="en-US" w:eastAsia="zh-CN"/>
        </w:rPr>
        <w:t xml:space="preserve">高邮市</w:t>
      </w:r>
      <w:r>
        <w:rPr>
          <w:rFonts w:hint="eastAsia" w:ascii="宋体" w:hAnsi="宋体" w:cs="宋体"/>
          <w:color w:val="000000"/>
          <w:sz w:val="24"/>
          <w:szCs w:val="24"/>
        </w:rPr>
        <w:t xml:space="preserve">202</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年度国土变更调查基础成果，以202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年12月31日为统一时点，按照国家统一标准，在</w:t>
      </w:r>
      <w:r>
        <w:rPr>
          <w:rFonts w:hint="eastAsia" w:ascii="宋体" w:hAnsi="宋体" w:cs="宋体"/>
          <w:color w:val="000000"/>
          <w:sz w:val="24"/>
          <w:szCs w:val="24"/>
          <w:lang w:val="en-US" w:eastAsia="zh-CN"/>
        </w:rPr>
        <w:t xml:space="preserve">高邮市</w:t>
      </w:r>
      <w:r>
        <w:rPr>
          <w:rFonts w:hint="eastAsia" w:ascii="宋体" w:hAnsi="宋体" w:cs="宋体"/>
          <w:color w:val="000000"/>
          <w:sz w:val="24"/>
          <w:szCs w:val="24"/>
        </w:rPr>
        <w:t xml:space="preserve">范围内利用互联网、地理信息系统等技术，统筹利用现有资料及国家下发遥感监测成果，地方补充提取地类变化信息，结合有关专项监测及自然资源管理成果，开展实地调查举证与建库，全面掌握202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年度的地类、面积、属性及相关单独图层信息的变化情况，更新</w:t>
      </w:r>
      <w:r>
        <w:rPr>
          <w:rFonts w:hint="eastAsia" w:ascii="宋体" w:hAnsi="宋体" w:cs="宋体"/>
          <w:color w:val="000000"/>
          <w:sz w:val="24"/>
          <w:szCs w:val="24"/>
          <w:lang w:val="en-US" w:eastAsia="zh-CN"/>
        </w:rPr>
        <w:t xml:space="preserve">高邮市</w:t>
      </w:r>
      <w:r>
        <w:rPr>
          <w:rFonts w:hint="eastAsia" w:ascii="宋体" w:hAnsi="宋体" w:cs="宋体"/>
          <w:color w:val="000000"/>
          <w:sz w:val="24"/>
          <w:szCs w:val="24"/>
        </w:rPr>
        <w:t xml:space="preserve">国土调查数据库。</w:t>
      </w:r>
      <w:r/>
    </w:p>
    <w:p>
      <w:pPr>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lang w:val="zh-CN"/>
        </w:rPr>
        <w:t xml:space="preserve">、工作内容</w:t>
      </w:r>
      <w:r>
        <w:rPr>
          <w:rFonts w:hint="eastAsia" w:ascii="宋体" w:hAnsi="宋体" w:cs="宋体"/>
          <w:color w:val="000000"/>
          <w:sz w:val="24"/>
          <w:szCs w:val="24"/>
          <w:lang w:val="zh-CN"/>
        </w:rPr>
        <w:t xml:space="preserve">：</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val="en-US" w:eastAsia="zh-CN"/>
        </w:rPr>
        <w:t xml:space="preserve">2025</w:t>
      </w:r>
      <w:r>
        <w:rPr>
          <w:rFonts w:hint="eastAsia" w:ascii="宋体" w:hAnsi="宋体" w:cs="宋体"/>
          <w:color w:val="000000"/>
          <w:sz w:val="24"/>
          <w:szCs w:val="24"/>
        </w:rPr>
        <w:t xml:space="preserve">年度国土变更调查 </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1.土地利用现状更新。利用国家遥感监测成果、日常变更调查成果、权籍调查和自然资源日常管理成果，通过实地调查举证，全面查清土地利用变化情况。</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2.土地权属状况更新。依据不动产登记成果，形成土地权属状况更新成果。</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3.国土调查数据库更新。采用增量更新的方式，将土地利用现状及权属变化信息逐级更新至县、市、省三级国土调查数据库。</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4.成果核查。利用日常变更调查成果、DOM 及地方提交的举证信息，采用内、外业相结合的方式，比对核实变化图斑地类及属性变更的正确性，及时更新调查成果。</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5.成果汇总分析。包括各级调查单位数据汇总分析、报告编写等工作。</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lang w:val="en-US" w:eastAsia="zh-CN"/>
        </w:rPr>
        <w:t xml:space="preserve">2026年</w:t>
      </w:r>
      <w:r>
        <w:rPr>
          <w:rFonts w:hint="eastAsia" w:ascii="宋体" w:hAnsi="宋体" w:cs="宋体"/>
          <w:color w:val="000000"/>
          <w:sz w:val="24"/>
          <w:szCs w:val="24"/>
        </w:rPr>
        <w:t xml:space="preserve">日常变更调查 </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1.变化范围确定。省级利用数字正射影像图（以下简称 DOM）开展省级变化图斑提取，县级自然资源主管部门结合收集到的管理数据、DOM 等开展县级图斑自提工作，获取变化范围。</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2.内业调查。对变化范围进行关联图斑提取、边界修正、图斑分类等处理。</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3.外业调查举证。结合变化范围开展外业调查举证工作，通过实地调查举证，全面查清土地利用变化情况。</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4.内业数据处理与成果上传。结合外业调查举证成果对变化图斑进行处理上图，按要求生成数据成果包上传至江苏省国土变更调查省市县三级在线核查系统中。</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5.成果检查。利用江苏省国土变更调查省市县三级在线核查系统，同步开展省、市、县检查，比对核实变化图斑地类及属性的正确性，及时更新预变更方案。</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6.数据汇总。根据省级检查合格的预变更方案，生成日常变更调查数据库。结合日常管理需要开展数据汇总，形成各类统计数据。</w:t>
      </w:r>
      <w:r/>
    </w:p>
    <w:p>
      <w:pPr>
        <w:ind w:right="119"/>
        <w:keepLines w:val="0"/>
        <w:keepNext w:val="0"/>
        <w:pageBreakBefore w:val="0"/>
        <w:spacing w:line="360" w:lineRule="auto"/>
        <w:widowControl w:val="off"/>
        <w:rPr>
          <w:rFonts w:hint="default" w:ascii="宋体" w:hAnsi="宋体" w:cs="宋体"/>
          <w:b/>
          <w:bCs/>
          <w:sz w:val="24"/>
          <w:szCs w:val="24"/>
          <w:lang w:val="en-US" w:eastAsia="zh-CN"/>
        </w:rPr>
      </w:pPr>
      <w:r/>
      <w:bookmarkStart w:id="180" w:name="_Toc6176"/>
      <w:r/>
      <w:bookmarkStart w:id="181" w:name="_Toc24377"/>
      <w:r/>
      <w:bookmarkStart w:id="182" w:name="_Toc89939773"/>
      <w:r>
        <w:rPr>
          <w:rFonts w:hint="eastAsia" w:ascii="宋体" w:hAnsi="宋体" w:cs="宋体"/>
          <w:b/>
          <w:bCs/>
          <w:sz w:val="24"/>
          <w:szCs w:val="24"/>
          <w:lang w:val="en-US" w:eastAsia="zh-CN"/>
        </w:rPr>
        <w:t xml:space="preserve">五、数学基础</w:t>
      </w:r>
      <w:bookmarkEnd w:id="180"/>
      <w:r/>
      <w:bookmarkEnd w:id="181"/>
      <w:r/>
      <w:bookmarkEnd w:id="182"/>
      <w:r/>
      <w:r/>
    </w:p>
    <w:p>
      <w:pPr>
        <w:ind w:firstLine="480"/>
        <w:keepLines w:val="0"/>
        <w:keepNext w:val="0"/>
        <w:pageBreakBefore w:val="0"/>
        <w:spacing w:line="360" w:lineRule="auto"/>
        <w:widowControl w:val="off"/>
        <w:rPr>
          <w:rFonts w:hint="eastAsia" w:ascii="宋体" w:hAnsi="宋体" w:cs="宋体"/>
          <w:color w:val="000000"/>
          <w:sz w:val="24"/>
          <w:szCs w:val="24"/>
        </w:rPr>
      </w:pPr>
      <w:r/>
      <w:bookmarkStart w:id="183" w:name="_Toc89939488"/>
      <w:r/>
      <w:bookmarkStart w:id="184" w:name="_Toc59092911"/>
      <w:r/>
      <w:bookmarkStart w:id="185" w:name="_Toc21665"/>
      <w:r/>
      <w:bookmarkStart w:id="186" w:name="_Toc89939774"/>
      <w:r/>
      <w:bookmarkStart w:id="187" w:name="_Toc58301593"/>
      <w:r/>
      <w:bookmarkStart w:id="188" w:name="_Toc30846"/>
      <w:r/>
      <w:bookmarkStart w:id="189" w:name="_Toc59012980"/>
      <w:r/>
      <w:bookmarkStart w:id="190" w:name="_Toc60312287"/>
      <w:r/>
      <w:bookmarkStart w:id="191" w:name="_Toc58448755"/>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坐标系统</w:t>
      </w:r>
      <w:bookmarkEnd w:id="183"/>
      <w:r/>
      <w:bookmarkEnd w:id="184"/>
      <w:r/>
      <w:bookmarkEnd w:id="185"/>
      <w:r/>
      <w:bookmarkEnd w:id="186"/>
      <w:r/>
      <w:bookmarkEnd w:id="187"/>
      <w:r/>
      <w:bookmarkEnd w:id="188"/>
      <w:r/>
      <w:bookmarkEnd w:id="189"/>
      <w:r/>
      <w:bookmarkEnd w:id="190"/>
      <w:r/>
      <w:bookmarkEnd w:id="191"/>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采用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2000国家大地坐标系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cs="宋体"/>
          <w:color w:val="000000"/>
          <w:sz w:val="24"/>
          <w:szCs w:val="24"/>
        </w:rPr>
      </w:pPr>
      <w:r/>
      <w:bookmarkStart w:id="192" w:name="_Toc58448756"/>
      <w:r/>
      <w:bookmarkStart w:id="193" w:name="_Toc58301594"/>
      <w:r/>
      <w:bookmarkStart w:id="194" w:name="_Toc59092912"/>
      <w:r/>
      <w:bookmarkStart w:id="195" w:name="_Toc59012981"/>
      <w:r/>
      <w:bookmarkStart w:id="196" w:name="_Toc60312288"/>
      <w:r>
        <w:rPr>
          <w:rFonts w:hint="eastAsia" w:ascii="宋体" w:hAnsi="宋体" w:cs="宋体"/>
          <w:color w:val="000000"/>
          <w:sz w:val="24"/>
          <w:szCs w:val="24"/>
          <w:lang w:val="en-US" w:eastAsia="zh-CN"/>
        </w:rPr>
        <w:t xml:space="preserve">2.</w:t>
      </w:r>
      <w:bookmarkStart w:id="197" w:name="_Toc11478"/>
      <w:r/>
      <w:bookmarkStart w:id="198" w:name="_Toc89939775"/>
      <w:r/>
      <w:bookmarkStart w:id="199" w:name="_Toc89939489"/>
      <w:r/>
      <w:bookmarkStart w:id="200" w:name="_Toc4852"/>
      <w:r>
        <w:rPr>
          <w:rFonts w:hint="eastAsia" w:ascii="宋体" w:hAnsi="宋体" w:cs="宋体"/>
          <w:color w:val="000000"/>
          <w:sz w:val="24"/>
          <w:szCs w:val="24"/>
        </w:rPr>
        <w:t xml:space="preserve">高程基准</w:t>
      </w:r>
      <w:bookmarkEnd w:id="192"/>
      <w:r/>
      <w:bookmarkEnd w:id="193"/>
      <w:r/>
      <w:bookmarkEnd w:id="194"/>
      <w:r/>
      <w:bookmarkEnd w:id="195"/>
      <w:r/>
      <w:bookmarkEnd w:id="196"/>
      <w:r/>
      <w:bookmarkEnd w:id="197"/>
      <w:r/>
      <w:bookmarkEnd w:id="198"/>
      <w:r/>
      <w:bookmarkEnd w:id="199"/>
      <w:r/>
      <w:bookmarkEnd w:id="200"/>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采用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1985国家高程基准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cs="宋体"/>
          <w:color w:val="000000"/>
          <w:sz w:val="24"/>
          <w:szCs w:val="24"/>
        </w:rPr>
      </w:pPr>
      <w:r/>
      <w:bookmarkStart w:id="201" w:name="_Toc60312289"/>
      <w:r/>
      <w:bookmarkStart w:id="202" w:name="_Toc59012982"/>
      <w:r/>
      <w:bookmarkStart w:id="203" w:name="_Toc59092913"/>
      <w:r/>
      <w:bookmarkStart w:id="204" w:name="_Toc58448757"/>
      <w:r/>
      <w:bookmarkStart w:id="205" w:name="_Toc58301595"/>
      <w:r>
        <w:rPr>
          <w:rFonts w:hint="eastAsia" w:ascii="宋体" w:hAnsi="宋体" w:cs="宋体"/>
          <w:color w:val="000000"/>
          <w:sz w:val="24"/>
          <w:szCs w:val="24"/>
          <w:lang w:val="en-US" w:eastAsia="zh-CN"/>
        </w:rPr>
        <w:t xml:space="preserve">3.</w:t>
      </w:r>
      <w:bookmarkStart w:id="206" w:name="_Toc875"/>
      <w:r/>
      <w:bookmarkStart w:id="207" w:name="_Toc89939776"/>
      <w:r/>
      <w:bookmarkStart w:id="208" w:name="_Toc89939490"/>
      <w:r/>
      <w:bookmarkStart w:id="209" w:name="_Toc4744"/>
      <w:r>
        <w:rPr>
          <w:rFonts w:hint="eastAsia" w:ascii="宋体" w:hAnsi="宋体" w:cs="宋体"/>
          <w:color w:val="000000"/>
          <w:sz w:val="24"/>
          <w:szCs w:val="24"/>
        </w:rPr>
        <w:t xml:space="preserve">投影方式</w:t>
      </w:r>
      <w:bookmarkEnd w:id="201"/>
      <w:r/>
      <w:bookmarkEnd w:id="202"/>
      <w:r/>
      <w:bookmarkEnd w:id="203"/>
      <w:r/>
      <w:bookmarkEnd w:id="204"/>
      <w:r/>
      <w:bookmarkEnd w:id="205"/>
      <w:r/>
      <w:bookmarkEnd w:id="206"/>
      <w:r/>
      <w:bookmarkEnd w:id="207"/>
      <w:r/>
      <w:bookmarkEnd w:id="208"/>
      <w:r/>
      <w:bookmarkEnd w:id="209"/>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投影方式采用高斯-克吕格投影。</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1:2 000、1:5 000、1:10 000比例尺标准分幅图或数据按3度分带。</w:t>
      </w:r>
      <w:r/>
    </w:p>
    <w:p>
      <w:pPr>
        <w:ind w:firstLine="480"/>
        <w:keepLines w:val="0"/>
        <w:keepNext w:val="0"/>
        <w:pageBreakBefore w:val="0"/>
        <w:spacing w:line="360" w:lineRule="auto"/>
        <w:widowControl w:val="off"/>
        <w:rPr>
          <w:rFonts w:hint="eastAsia" w:ascii="宋体" w:hAnsi="宋体" w:cs="宋体"/>
          <w:color w:val="000000"/>
          <w:sz w:val="24"/>
          <w:szCs w:val="24"/>
        </w:rPr>
      </w:pPr>
      <w:r/>
      <w:bookmarkStart w:id="210" w:name="_Toc89939777"/>
      <w:r/>
      <w:bookmarkStart w:id="211" w:name="_Toc59092914"/>
      <w:r/>
      <w:bookmarkStart w:id="212" w:name="_Toc59012983"/>
      <w:r/>
      <w:bookmarkStart w:id="213" w:name="_Toc58448758"/>
      <w:r/>
      <w:bookmarkStart w:id="214" w:name="_Toc58301596"/>
      <w:r/>
      <w:bookmarkStart w:id="215" w:name="_Toc23266"/>
      <w:r/>
      <w:bookmarkStart w:id="216" w:name="_Toc60312290"/>
      <w:r/>
      <w:bookmarkStart w:id="217" w:name="_Toc4018"/>
      <w:r/>
      <w:bookmarkStart w:id="218" w:name="_Toc89939491"/>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分幅及编号</w:t>
      </w:r>
      <w:bookmarkEnd w:id="210"/>
      <w:r/>
      <w:bookmarkEnd w:id="211"/>
      <w:r/>
      <w:bookmarkEnd w:id="212"/>
      <w:r/>
      <w:bookmarkEnd w:id="213"/>
      <w:r/>
      <w:bookmarkEnd w:id="214"/>
      <w:r/>
      <w:bookmarkEnd w:id="215"/>
      <w:r/>
      <w:bookmarkEnd w:id="216"/>
      <w:r/>
      <w:bookmarkEnd w:id="217"/>
      <w:r/>
      <w:bookmarkEnd w:id="218"/>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农村</w:t>
      </w:r>
      <w:r>
        <w:rPr>
          <w:rFonts w:hint="eastAsia" w:ascii="宋体" w:hAnsi="宋体" w:cs="宋体"/>
          <w:color w:val="000000"/>
          <w:sz w:val="24"/>
          <w:szCs w:val="24"/>
          <w:lang w:eastAsia="zh-CN"/>
        </w:rPr>
        <w:t xml:space="preserve">国土</w:t>
      </w:r>
      <w:r>
        <w:rPr>
          <w:rFonts w:hint="eastAsia" w:ascii="宋体" w:hAnsi="宋体" w:cs="宋体"/>
          <w:color w:val="000000"/>
          <w:sz w:val="24"/>
          <w:szCs w:val="24"/>
        </w:rPr>
        <w:t xml:space="preserve">利用现状更新、城镇村庄内部土地利用现状更新各比例尺标准分幅及编号应符合GB/T 13989-2012的规定。标准分幅采用国际1:1 000 000地图分幅标准，各比例尺标准分幅图均按规定的经差和纬差划分，采用经、纬度分幅。标准分幅图编号均以1:1 000 000地形图编号为基础采用行列编号方法。</w:t>
      </w:r>
      <w:r/>
    </w:p>
    <w:p>
      <w:pPr>
        <w:ind w:right="119"/>
        <w:keepLines w:val="0"/>
        <w:keepNext w:val="0"/>
        <w:pageBreakBefore w:val="0"/>
        <w:spacing w:line="360" w:lineRule="auto"/>
        <w:widowControl w:val="off"/>
        <w:rPr>
          <w:rFonts w:ascii="宋体" w:hAnsi="宋体" w:cs="宋体"/>
          <w:b w:val="0"/>
          <w:bCs w:val="0"/>
          <w:sz w:val="24"/>
          <w:szCs w:val="24"/>
          <w:lang w:val="zh-CN"/>
        </w:rPr>
      </w:pPr>
      <w:r>
        <w:rPr>
          <w:rFonts w:hint="eastAsia" w:ascii="宋体" w:hAnsi="宋体" w:cs="宋体"/>
          <w:b/>
          <w:bCs/>
          <w:sz w:val="24"/>
          <w:szCs w:val="24"/>
          <w:lang w:val="en-US" w:eastAsia="zh-CN"/>
        </w:rPr>
        <w:t xml:space="preserve">六</w:t>
      </w:r>
      <w:r>
        <w:rPr>
          <w:rFonts w:hint="eastAsia" w:ascii="宋体" w:hAnsi="宋体" w:cs="宋体"/>
          <w:b/>
          <w:bCs/>
          <w:sz w:val="24"/>
          <w:szCs w:val="24"/>
          <w:lang w:val="zh-CN"/>
        </w:rPr>
        <w:t xml:space="preserve">、</w:t>
      </w:r>
      <w:bookmarkStart w:id="219" w:name="_Toc103087074"/>
      <w:r>
        <w:rPr>
          <w:rFonts w:hint="eastAsia" w:ascii="宋体" w:hAnsi="宋体" w:cs="宋体"/>
          <w:b/>
          <w:bCs/>
          <w:sz w:val="24"/>
          <w:szCs w:val="24"/>
          <w:lang w:val="zh-CN"/>
        </w:rPr>
        <w:t xml:space="preserve">项目成果</w:t>
      </w:r>
      <w:bookmarkEnd w:id="219"/>
      <w:r>
        <w:rPr>
          <w:rFonts w:hint="eastAsia" w:ascii="宋体" w:hAnsi="宋体" w:cs="宋体"/>
          <w:b/>
          <w:bCs/>
          <w:sz w:val="24"/>
          <w:szCs w:val="24"/>
          <w:lang w:val="zh-CN"/>
        </w:rPr>
        <w:t xml:space="preserve">要求</w:t>
      </w:r>
      <w:r>
        <w:rPr>
          <w:rFonts w:hint="eastAsia" w:ascii="宋体" w:hAnsi="宋体" w:cs="宋体"/>
          <w:b w:val="0"/>
          <w:bCs w:val="0"/>
          <w:sz w:val="24"/>
          <w:szCs w:val="24"/>
          <w:lang w:val="zh-CN"/>
        </w:rPr>
        <w:t xml:space="preserve">：</w:t>
      </w:r>
      <w:r/>
    </w:p>
    <w:p>
      <w:pPr>
        <w:ind w:firstLine="480"/>
        <w:keepLines w:val="0"/>
        <w:keepNext w:val="0"/>
        <w:pageBreakBefore w:val="0"/>
        <w:spacing w:line="360" w:lineRule="auto"/>
        <w:widowControl w:val="off"/>
        <w:rPr>
          <w:rFonts w:ascii="宋体" w:hAnsi="宋体" w:cs="宋体"/>
          <w:color w:val="000000"/>
          <w:sz w:val="24"/>
          <w:szCs w:val="24"/>
        </w:rPr>
      </w:pPr>
      <w:r/>
      <w:bookmarkStart w:id="220" w:name="_Toc500772658"/>
      <w:r/>
      <w:bookmarkStart w:id="221" w:name="_Toc103087075"/>
      <w:r/>
      <w:bookmarkStart w:id="222" w:name="_Toc84679674"/>
      <w:r/>
      <w:bookmarkStart w:id="223" w:name="_Toc7860"/>
      <w:r>
        <w:rPr>
          <w:rFonts w:hint="eastAsia" w:ascii="宋体" w:hAnsi="宋体" w:cs="宋体"/>
          <w:color w:val="000000"/>
          <w:sz w:val="24"/>
          <w:szCs w:val="24"/>
        </w:rPr>
        <w:t xml:space="preserve">县级年度国土变更调查汇交成果按照本年度国土变更调查要求执行，应包括影像、图形、权属、文字报告等。其中国土调查矢量数据包括年度国土变更调查更新数据包（含增量信息与统计报表，由数据库质检软件打包生成）；“互联网+”举证成果为 DB 格式，年度国土变更调查所有举证的图斑放置在年度国土变更调查举证（BGDC）属性表中，举证信息表为 MDB 格式；《遥感监测图斑信息核实记录表》为 MDB 格式，根据遥感监测图斑的变更情况逐图斑填写。</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日常变更调查主要成果包括矢量数据和举证信息等。其中，矢量数据为拟变更图斑以及相关单独图层（MDB 格式，DLTB 图层属性字段参照年度国土变更调查地类图斑更新过程层并增加相关项目的项目名称和编号等）；举证信息为符合年度国土变更调查要求的举证成果包（DB 格式或在线接口）和举证信息表（MDB 格式）等。</w:t>
      </w:r>
      <w:bookmarkEnd w:id="220"/>
      <w:r/>
      <w:bookmarkEnd w:id="221"/>
      <w:r/>
      <w:bookmarkEnd w:id="222"/>
      <w:r/>
      <w:bookmarkEnd w:id="223"/>
      <w:r/>
      <w:r/>
    </w:p>
    <w:p>
      <w:pPr>
        <w:ind w:right="119"/>
        <w:keepLines w:val="0"/>
        <w:keepNext w:val="0"/>
        <w:pageBreakBefore w:val="0"/>
        <w:spacing w:line="360" w:lineRule="auto"/>
        <w:widowControl w:val="off"/>
        <w:rPr>
          <w:rFonts w:ascii="宋体" w:hAnsi="宋体" w:cs="宋体"/>
          <w:b/>
          <w:bCs/>
          <w:sz w:val="24"/>
          <w:szCs w:val="24"/>
          <w:lang w:val="zh-CN"/>
        </w:rPr>
      </w:pPr>
      <w:r>
        <w:rPr>
          <w:rFonts w:hint="eastAsia" w:ascii="宋体" w:hAnsi="宋体" w:cs="宋体"/>
          <w:b/>
          <w:bCs/>
          <w:sz w:val="24"/>
          <w:szCs w:val="24"/>
          <w:lang w:val="en-US" w:eastAsia="zh-CN"/>
        </w:rPr>
        <w:t xml:space="preserve">七</w:t>
      </w:r>
      <w:r>
        <w:rPr>
          <w:rFonts w:hint="eastAsia" w:ascii="宋体" w:hAnsi="宋体" w:cs="宋体"/>
          <w:b/>
          <w:bCs/>
          <w:sz w:val="24"/>
          <w:szCs w:val="24"/>
          <w:lang w:val="zh-CN"/>
        </w:rPr>
        <w:t xml:space="preserve">、服务标准：</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1.本项目的实施必须符合</w:t>
      </w:r>
      <w:r>
        <w:rPr>
          <w:rFonts w:hint="eastAsia" w:ascii="宋体" w:hAnsi="宋体" w:cs="宋体"/>
          <w:color w:val="000000"/>
          <w:sz w:val="24"/>
          <w:szCs w:val="24"/>
          <w:lang w:val="en-US" w:eastAsia="zh-CN"/>
        </w:rPr>
        <w:t xml:space="preserve">扬州</w:t>
      </w:r>
      <w:r>
        <w:rPr>
          <w:rFonts w:hint="eastAsia" w:ascii="宋体" w:hAnsi="宋体" w:cs="宋体"/>
          <w:color w:val="000000"/>
          <w:sz w:val="24"/>
          <w:szCs w:val="24"/>
        </w:rPr>
        <w:t xml:space="preserve">市、江苏省、国家有关规范、规程和相关技术文件，以及磋商文件要求及响应文件承诺，提交成果资料应详实、准确、全面、科学合理。本项目提交的全部技术成果，必须能通过采购人组织的成果审查，并确保在规定时间内按程序上报并通过检查。</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2.在项目实施过程中遇到问题时，成交供应商应提供全天候的热线技术支持服务，应在3小时内对采购人所反映的问题做出及时响应，并能在24小时内到达采购人现场处理解决问题。</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3</w:t>
      </w:r>
      <w:bookmarkStart w:id="224" w:name="_Hlk60155005"/>
      <w:r>
        <w:rPr>
          <w:rFonts w:hint="eastAsia" w:ascii="宋体" w:hAnsi="宋体" w:cs="宋体"/>
          <w:color w:val="000000"/>
          <w:sz w:val="24"/>
          <w:szCs w:val="24"/>
        </w:rPr>
        <w:t xml:space="preserve">.在项目完成后，</w:t>
      </w:r>
      <w:bookmarkEnd w:id="224"/>
      <w:r>
        <w:rPr>
          <w:rFonts w:hint="eastAsia" w:ascii="宋体" w:hAnsi="宋体" w:cs="宋体"/>
          <w:color w:val="000000"/>
          <w:sz w:val="24"/>
          <w:szCs w:val="24"/>
        </w:rPr>
        <w:t xml:space="preserve">成交供应商应向采购人提供必要的</w:t>
      </w:r>
      <w:bookmarkStart w:id="225" w:name="_Hlk60154959"/>
      <w:r>
        <w:rPr>
          <w:rFonts w:hint="eastAsia" w:ascii="宋体" w:hAnsi="宋体" w:cs="宋体"/>
          <w:color w:val="000000"/>
          <w:sz w:val="24"/>
          <w:szCs w:val="24"/>
        </w:rPr>
        <w:t xml:space="preserve">后续技术支持服务</w:t>
      </w:r>
      <w:bookmarkEnd w:id="225"/>
      <w:r>
        <w:rPr>
          <w:rFonts w:hint="eastAsia" w:ascii="宋体" w:hAnsi="宋体" w:cs="宋体"/>
          <w:color w:val="000000"/>
          <w:sz w:val="24"/>
          <w:szCs w:val="24"/>
        </w:rPr>
        <w:t xml:space="preserve">，协助采购人完成其他需要成交供应商配合的服务。服务时间不少于一年，相关费用包含在本项目报价总价中。</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4.项目计划进度安排：按照省、市工作部署要求完成全部工作。</w:t>
      </w:r>
      <w:r/>
    </w:p>
    <w:p>
      <w:pPr>
        <w:keepLines w:val="0"/>
        <w:keepNext w:val="0"/>
        <w:pageBreakBefore w:val="0"/>
        <w:spacing w:line="360" w:lineRule="auto"/>
        <w:widowControl w:val="off"/>
        <w:rPr>
          <w:rFonts w:ascii="宋体" w:hAnsi="宋体" w:cs="宋体"/>
          <w:b/>
          <w:bCs/>
          <w:color w:val="000000"/>
          <w:sz w:val="24"/>
          <w:szCs w:val="24"/>
        </w:rPr>
      </w:pPr>
      <w:r>
        <w:rPr>
          <w:rFonts w:hint="eastAsia" w:ascii="宋体" w:hAnsi="宋体" w:cs="宋体"/>
          <w:b/>
          <w:bCs/>
          <w:color w:val="000000"/>
          <w:sz w:val="24"/>
          <w:szCs w:val="24"/>
          <w:lang w:val="en-US" w:eastAsia="zh-CN"/>
        </w:rPr>
        <w:t xml:space="preserve">八</w:t>
      </w:r>
      <w:r>
        <w:rPr>
          <w:rFonts w:hint="eastAsia" w:ascii="宋体" w:hAnsi="宋体" w:cs="宋体"/>
          <w:b/>
          <w:bCs/>
          <w:color w:val="000000"/>
          <w:sz w:val="24"/>
          <w:szCs w:val="24"/>
        </w:rPr>
        <w:t xml:space="preserve">、服务周期：</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lang w:val="en-US" w:eastAsia="zh-CN"/>
        </w:rPr>
        <w:t xml:space="preserve">合同签订之日起一年内</w:t>
      </w:r>
      <w:r>
        <w:rPr>
          <w:rFonts w:hint="eastAsia" w:ascii="宋体" w:hAnsi="宋体" w:cs="宋体"/>
          <w:color w:val="000000"/>
          <w:sz w:val="24"/>
          <w:szCs w:val="24"/>
        </w:rPr>
        <w:t xml:space="preserve">完成。</w:t>
      </w:r>
      <w:r/>
    </w:p>
    <w:p>
      <w:pPr>
        <w:jc w:val="left"/>
        <w:pageBreakBefore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lang w:val="en-US" w:eastAsia="zh-CN"/>
        </w:rPr>
        <w:t xml:space="preserve">其他商务技术要求等</w:t>
      </w:r>
      <w:r/>
    </w:p>
    <w:p>
      <w:pPr>
        <w:pStyle w:val="942"/>
        <w:ind w:firstLine="470"/>
        <w:pageBreakBefore w:val="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rPr>
        <w:t xml:space="preserve">1.</w:t>
      </w:r>
      <w:r>
        <w:rPr>
          <w:rFonts w:hint="eastAsia" w:cs="宋体"/>
          <w:b/>
          <w:bCs/>
          <w:color w:val="auto"/>
          <w:sz w:val="24"/>
          <w:szCs w:val="24"/>
          <w:lang w:val="en-US" w:eastAsia="zh-CN"/>
        </w:rPr>
        <w:t xml:space="preserve">项目理解</w:t>
      </w:r>
      <w:r>
        <w:rPr>
          <w:rFonts w:hint="eastAsia" w:cs="宋体"/>
          <w:b/>
          <w:bCs/>
          <w:color w:val="auto"/>
          <w:sz w:val="24"/>
          <w:szCs w:val="24"/>
          <w:lang w:val="en-US" w:eastAsia="zh-CN"/>
        </w:rPr>
        <w:t xml:space="preserve">要求</w:t>
      </w:r>
      <w:r/>
    </w:p>
    <w:p>
      <w:pPr>
        <w:pStyle w:val="942"/>
        <w:ind w:firstLine="48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供应商应结合项目</w:t>
      </w:r>
      <w:r>
        <w:rPr>
          <w:rFonts w:hint="eastAsia" w:cs="宋体"/>
          <w:color w:val="auto"/>
          <w:sz w:val="24"/>
          <w:szCs w:val="24"/>
          <w:lang w:val="en-US" w:eastAsia="zh-CN"/>
        </w:rPr>
        <w:t xml:space="preserve">背景、总体</w:t>
      </w:r>
      <w:r>
        <w:rPr>
          <w:rFonts w:hint="eastAsia" w:ascii="宋体" w:hAnsi="宋体" w:eastAsia="宋体" w:cs="宋体"/>
          <w:color w:val="auto"/>
          <w:sz w:val="24"/>
          <w:szCs w:val="24"/>
          <w:lang w:val="en-US"/>
        </w:rPr>
        <w:t xml:space="preserve">目标</w:t>
      </w:r>
      <w:r>
        <w:rPr>
          <w:rFonts w:hint="eastAsia" w:cs="宋体"/>
          <w:color w:val="auto"/>
          <w:sz w:val="24"/>
          <w:szCs w:val="24"/>
          <w:lang w:val="en-US" w:eastAsia="zh-CN"/>
        </w:rPr>
        <w:t xml:space="preserve">、工作内容、成果要求、服务周期</w:t>
      </w:r>
      <w:r>
        <w:rPr>
          <w:rFonts w:hint="eastAsia" w:ascii="宋体" w:hAnsi="宋体" w:eastAsia="宋体" w:cs="宋体"/>
          <w:color w:val="auto"/>
          <w:sz w:val="24"/>
          <w:szCs w:val="24"/>
          <w:lang w:val="en-US"/>
        </w:rPr>
        <w:t xml:space="preserve">等，深入分析并阐述对项目需求的理解。</w:t>
      </w:r>
      <w:r/>
    </w:p>
    <w:p>
      <w:pPr>
        <w:numPr>
          <w:ilvl w:val="0"/>
          <w:numId w:val="0"/>
        </w:numPr>
        <w:ind w:firstLine="482"/>
        <w:jc w:val="left"/>
        <w:pageBreakBefore w:val="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2.技术要求</w:t>
      </w:r>
      <w:r/>
    </w:p>
    <w:p>
      <w:pPr>
        <w:pStyle w:val="942"/>
        <w:numPr>
          <w:ilvl w:val="0"/>
          <w:numId w:val="5"/>
        </w:numPr>
        <w:ind w:firstLine="48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结合工作任务，设计详细的技术路线，明确项目实施的整体流程及关键节点，有效提高工作效率。</w:t>
      </w:r>
      <w:r/>
    </w:p>
    <w:p>
      <w:pPr>
        <w:pStyle w:val="942"/>
        <w:numPr>
          <w:ilvl w:val="0"/>
          <w:numId w:val="5"/>
        </w:numPr>
        <w:ind w:left="0" w:firstLine="48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供应商提供的技术方案，需对保障项目精度指标提出有效的技术管控措施，确保各项精度指标满足相关要求。</w:t>
      </w:r>
      <w:r/>
    </w:p>
    <w:p>
      <w:pPr>
        <w:pStyle w:val="942"/>
        <w:numPr>
          <w:ilvl w:val="0"/>
          <w:numId w:val="0"/>
        </w:numPr>
        <w:ind w:firstLine="482"/>
        <w:pageBreakBefore w:val="0"/>
        <w:spacing w:line="360" w:lineRule="auto"/>
        <w:rPr>
          <w:rFonts w:hint="default" w:cs="宋体"/>
          <w:b/>
          <w:bCs/>
          <w:color w:val="000000"/>
          <w:sz w:val="24"/>
          <w:szCs w:val="24"/>
          <w:lang w:val="en-US" w:eastAsia="zh-CN"/>
        </w:rPr>
      </w:pPr>
      <w:r>
        <w:rPr>
          <w:rFonts w:hint="eastAsia" w:cs="宋体"/>
          <w:b/>
          <w:bCs/>
          <w:color w:val="000000"/>
          <w:sz w:val="24"/>
          <w:szCs w:val="24"/>
          <w:lang w:val="en-US" w:eastAsia="zh-CN"/>
        </w:rPr>
        <w:t xml:space="preserve">3.项目进度安排及保障措施要求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（1）需根据项目总进度计划，编制各阶段详细的实施计划，包括各工序进度计划。根据工序计划编制每周作业计划，保质保量推进各项工作。</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（2）建立进度控制工作制度。在项目实施中定期检查、随时监控项目实施过程的信息，实现连续、动态的全过程进度目标控制，对照计划，分析进度执行情况，及时调整人力、物力、资金及仪器设备的投入量。</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（3）需充分调动人力、物力资源，加大设备投入，内外业穿插作业，确保按期完成该项目。</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（4）需依据详细的施工计划，专人检查计划的落实情况，需在进度计划执行过程中及时按工序、按时间段进行跟踪，有偏差及时进行调整修正，确保按进度计划进行生产。</w:t>
      </w:r>
      <w:r/>
    </w:p>
    <w:p>
      <w:pPr>
        <w:ind w:firstLine="482"/>
        <w:jc w:val="left"/>
        <w:pageBreakBefore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.质量保证措施</w:t>
      </w:r>
      <w:r>
        <w:rPr>
          <w:rFonts w:hint="eastAsia" w:ascii="宋体" w:hAnsi="宋体" w:cs="宋体"/>
          <w:b/>
          <w:bCs/>
          <w:sz w:val="24"/>
          <w:szCs w:val="24"/>
          <w:lang w:val="en-US" w:eastAsia="zh-CN"/>
        </w:rPr>
        <w:t xml:space="preserve">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（1）按照质量管理体系的相关要求，需建立健全质量管理的规章制度，明确质量管理责任，将质量与绩效挂钩，认真落实质量奖惩，强化质量管理工作，不断完善测绘质量管理体系。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需根据有关规范和规定，组织作业，由质量负责人负责质检人员的管理；设立专职质检员，专职检查员严格执行操作规程，按照技术设计进行作业，并对作业成果质量负责。测绘作业人员对自己生产产品的质量负责到底。</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（3）测绘任务实施前，需对项目使用的仪器、设备、工具进行检验和校正；对生产中应用的计算机软件及需用的物资保证满足产品质量的要求，不合格的不投入使用。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成果质量实行“二级检查、一级验收”制度，成果应依次通过项目技术中标人作业部门的过程检查、项目技术中标人质量管理部门的最终检查、项目监理单位组织的监理检查和测绘质量监督检验机构的质量检验。</w:t>
      </w:r>
      <w:r/>
    </w:p>
    <w:p>
      <w:pPr>
        <w:pStyle w:val="942"/>
        <w:ind w:firstLine="482"/>
        <w:pageBreakBefore w:val="0"/>
        <w:spacing w:line="360" w:lineRule="auto"/>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 xml:space="preserve">5</w:t>
      </w:r>
      <w:r>
        <w:rPr>
          <w:rFonts w:hint="eastAsia" w:ascii="宋体" w:hAnsi="宋体" w:eastAsia="宋体" w:cs="宋体"/>
          <w:b/>
          <w:bCs/>
          <w:color w:val="auto"/>
          <w:sz w:val="24"/>
          <w:szCs w:val="24"/>
          <w:lang w:val="en-US"/>
        </w:rPr>
        <w:t xml:space="preserve">.重难点分析及解决措施</w:t>
      </w:r>
      <w:r>
        <w:rPr>
          <w:rFonts w:hint="eastAsia" w:ascii="宋体" w:hAnsi="宋体" w:eastAsia="宋体" w:cs="宋体"/>
          <w:b/>
          <w:bCs/>
          <w:color w:val="auto"/>
          <w:sz w:val="24"/>
          <w:szCs w:val="24"/>
          <w:lang w:val="en-US" w:eastAsia="zh-CN"/>
        </w:rPr>
        <w:t xml:space="preserve">要求</w:t>
      </w:r>
      <w:r/>
    </w:p>
    <w:p>
      <w:pPr>
        <w:pStyle w:val="942"/>
        <w:ind w:firstLine="480"/>
        <w:pageBreakBefore w:val="0"/>
        <w:spacing w:line="360" w:lineRule="auto"/>
        <w:rPr>
          <w:rFonts w:hint="eastAsia" w:ascii="宋体" w:hAnsi="宋体" w:eastAsia="宋体" w:cs="宋体"/>
          <w:color w:val="auto"/>
          <w:sz w:val="24"/>
          <w:szCs w:val="24"/>
          <w:lang w:val="en-US"/>
        </w:rPr>
      </w:pPr>
      <w:r>
        <w:rPr>
          <w:rFonts w:hint="eastAsia" w:cs="宋体"/>
          <w:color w:val="auto"/>
          <w:sz w:val="24"/>
          <w:szCs w:val="24"/>
          <w:lang w:val="en-US" w:eastAsia="zh-CN"/>
        </w:rPr>
        <w:t xml:space="preserve">（1）</w:t>
      </w:r>
      <w:r>
        <w:rPr>
          <w:rFonts w:hint="eastAsia" w:ascii="宋体" w:hAnsi="宋体" w:eastAsia="宋体" w:cs="宋体"/>
          <w:color w:val="auto"/>
          <w:sz w:val="24"/>
          <w:szCs w:val="24"/>
          <w:lang w:val="en-US"/>
        </w:rPr>
        <w:t xml:space="preserve">需根据生产实际，</w:t>
      </w:r>
      <w:r>
        <w:rPr>
          <w:rFonts w:hint="eastAsia" w:cs="宋体"/>
          <w:color w:val="auto"/>
          <w:sz w:val="24"/>
          <w:szCs w:val="24"/>
          <w:lang w:val="en-US" w:eastAsia="zh-CN"/>
        </w:rPr>
        <w:t xml:space="preserve">针对</w:t>
      </w:r>
      <w:r>
        <w:rPr>
          <w:rFonts w:hint="eastAsia" w:ascii="宋体" w:hAnsi="宋体" w:eastAsia="宋体" w:cs="宋体"/>
          <w:color w:val="auto"/>
          <w:sz w:val="24"/>
          <w:szCs w:val="24"/>
          <w:lang w:val="en-US"/>
        </w:rPr>
        <w:t xml:space="preserve">项目实施过程中</w:t>
      </w:r>
      <w:r>
        <w:rPr>
          <w:rFonts w:hint="eastAsia" w:cs="宋体"/>
          <w:color w:val="auto"/>
          <w:sz w:val="24"/>
          <w:szCs w:val="24"/>
          <w:lang w:val="en-US" w:eastAsia="zh-CN"/>
        </w:rPr>
        <w:t xml:space="preserve">涉及资料多，如何</w:t>
      </w:r>
      <w:r>
        <w:rPr>
          <w:rFonts w:hint="eastAsia" w:ascii="宋体" w:hAnsi="宋体" w:eastAsia="宋体"/>
          <w:color w:val="auto"/>
        </w:rPr>
        <w:t xml:space="preserve">避免重要管理数据漏变更</w:t>
      </w:r>
      <w:r>
        <w:rPr>
          <w:rFonts w:hint="eastAsia" w:ascii="宋体" w:hAnsi="宋体" w:eastAsia="宋体" w:cs="宋体"/>
          <w:color w:val="auto"/>
          <w:sz w:val="24"/>
          <w:szCs w:val="24"/>
          <w:lang w:val="en-US"/>
        </w:rPr>
        <w:t xml:space="preserve">进行分析，并提出合理可行的解决措施。</w:t>
      </w:r>
      <w:r/>
    </w:p>
    <w:p>
      <w:pPr>
        <w:pStyle w:val="942"/>
        <w:ind w:firstLine="480"/>
        <w:pageBreakBefore w:val="0"/>
        <w:spacing w:line="360" w:lineRule="auto"/>
        <w:rPr>
          <w:rFonts w:hint="eastAsia" w:ascii="宋体" w:hAnsi="宋体" w:eastAsia="宋体" w:cs="宋体"/>
          <w:color w:val="ff0000"/>
          <w:sz w:val="24"/>
          <w:szCs w:val="24"/>
          <w:lang w:val="en-US"/>
        </w:rPr>
      </w:pPr>
      <w:r>
        <w:rPr>
          <w:rFonts w:hint="eastAsia" w:cs="宋体"/>
          <w:color w:val="auto"/>
          <w:sz w:val="24"/>
          <w:szCs w:val="24"/>
          <w:lang w:val="en-US" w:eastAsia="zh-CN"/>
        </w:rPr>
        <w:t xml:space="preserve">（2）针对图斑量大、工作周期短等</w:t>
      </w:r>
      <w:r>
        <w:rPr>
          <w:rFonts w:hint="eastAsia" w:ascii="宋体" w:hAnsi="宋体" w:eastAsia="宋体" w:cs="宋体"/>
          <w:color w:val="auto"/>
          <w:sz w:val="24"/>
          <w:szCs w:val="24"/>
          <w:lang w:val="en-US"/>
        </w:rPr>
        <w:t xml:space="preserve">可能存在的影响项目质量、进度等风险进行评估，并提出有效解决方案。</w:t>
      </w:r>
      <w:r/>
    </w:p>
    <w:p>
      <w:pPr>
        <w:pStyle w:val="942"/>
        <w:ind w:firstLine="482"/>
        <w:pageBreakBefore w:val="0"/>
        <w:spacing w:line="360" w:lineRule="auto"/>
        <w:rPr>
          <w:rFonts w:hint="eastAsia" w:eastAsia="宋体" w:cs="宋体"/>
          <w:b/>
          <w:bCs/>
          <w:color w:val="auto"/>
          <w:sz w:val="24"/>
          <w:szCs w:val="24"/>
          <w:lang w:val="en-US" w:eastAsia="zh-CN"/>
        </w:rPr>
      </w:pPr>
      <w:r>
        <w:rPr>
          <w:rFonts w:hint="eastAsia" w:eastAsia="宋体" w:cs="宋体"/>
          <w:b/>
          <w:bCs/>
          <w:color w:val="auto"/>
          <w:sz w:val="24"/>
          <w:szCs w:val="24"/>
          <w:lang w:val="en-US" w:eastAsia="zh-CN"/>
        </w:rPr>
        <w:t xml:space="preserve">6.安全生产管理要求</w:t>
      </w:r>
      <w:r/>
    </w:p>
    <w:p>
      <w:pPr>
        <w:pStyle w:val="942"/>
        <w:ind w:firstLine="48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供应商成立安全生产管理机构，建立完善的安全生产与设备管理制度</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rPr>
        <w:t xml:space="preserve">坚持“安全第一、预防为主、综合治理”的安全方针，以人为本，科学制定安全操作规程和各类安全应急预案，明确安全责任主体和安全保障任务，全员签订安全生产责任书。建立日常巡检制度，确保安全防护设施配备齐全、操作规范严谨；要落实好安全教育和培训工作，有效防范遏止安全生产事故发生。</w:t>
      </w:r>
      <w:r/>
    </w:p>
    <w:p>
      <w:pPr>
        <w:pStyle w:val="942"/>
        <w:ind w:firstLine="482"/>
        <w:pageBreakBefore w:val="0"/>
        <w:spacing w:line="360" w:lineRule="auto"/>
        <w:rPr>
          <w:rFonts w:hint="eastAsia" w:eastAsia="宋体" w:cs="宋体"/>
          <w:b/>
          <w:bCs/>
          <w:color w:val="auto"/>
          <w:sz w:val="24"/>
          <w:szCs w:val="24"/>
          <w:lang w:val="en-US" w:eastAsia="zh-CN"/>
        </w:rPr>
      </w:pPr>
      <w:r>
        <w:rPr>
          <w:rFonts w:hint="eastAsia" w:eastAsia="宋体" w:cs="宋体"/>
          <w:b/>
          <w:bCs/>
          <w:color w:val="auto"/>
          <w:sz w:val="24"/>
          <w:szCs w:val="24"/>
          <w:lang w:val="en-US" w:eastAsia="zh-CN"/>
        </w:rPr>
        <w:t xml:space="preserve">7.数据安全保密要求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（1）中标供应商在服务前签订保密责任书，履行保密义务。</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（2）确保在本项目开展过程中形成的具有保存价值的测绘资料收集齐全、完整、真实、准确，并及时归集，登记、造册，严格履行国家秘密测绘成果使用、保管、销毁手续。</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（3）需设资料管理员，全面负责成果资料的管理工作；由资料管理员负责成果资料的保管、整理、保密工作，确保资料成果的安全性；并在项目生产过程中做好数据成果异地备份工作，保障数据安全。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（4）测量作业工序之间以及最后的资料移交均应提供资料移交清单，核对无误后双方代表签字，资料交接清单留存备查。</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（5）对涉密测绘资料要严格管理，在规定范围内使用，不得将涉密测绘资料私自带出资料室或外传，对机密资料内容不得自行摘抄、拍照、翻印或复制。</w:t>
      </w:r>
      <w:r/>
    </w:p>
    <w:p>
      <w:pPr>
        <w:ind w:firstLine="482"/>
        <w:jc w:val="left"/>
        <w:pageBreakBefore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.项目组织管理</w:t>
      </w:r>
      <w:r>
        <w:rPr>
          <w:rFonts w:hint="eastAsia" w:ascii="宋体" w:hAnsi="宋体" w:cs="宋体"/>
          <w:b/>
          <w:bCs/>
          <w:sz w:val="24"/>
          <w:szCs w:val="24"/>
          <w:lang w:val="en-US" w:eastAsia="zh-CN"/>
        </w:rPr>
        <w:t xml:space="preserve">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（1）需成立项目部，对项目各工序进行关系协调和质量、技术监督，确保各工序的正常运转和良好衔接。项目实施人员齐全，岗位职责明确，能高标准的实施项目管理。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（2）项目组织机构需有效开展本项目的各级人员配置、内外业生产安排、仪器物资调度、生产进度控制、技术管理、质量控制、安全控制和日常联系工作等。</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（3）在项目服务之前，各标段需组织参加本项目的全体人员对相关的技术规程及本项目技术设计书进行认真学习，充分了解项目需求，明确生产工艺流程及影响成果质量的重点环节。</w:t>
      </w:r>
      <w:r/>
    </w:p>
    <w:p>
      <w:pPr>
        <w:pStyle w:val="942"/>
        <w:ind w:firstLine="482"/>
        <w:pageBreakBefore w:val="0"/>
        <w:spacing w:line="360" w:lineRule="auto"/>
        <w:rPr>
          <w:rFonts w:hint="eastAsia" w:eastAsia="宋体" w:cs="宋体"/>
          <w:b/>
          <w:bCs/>
          <w:color w:val="auto"/>
          <w:sz w:val="24"/>
          <w:szCs w:val="24"/>
          <w:lang w:val="en-US" w:eastAsia="zh-CN"/>
        </w:rPr>
      </w:pPr>
      <w:r>
        <w:rPr>
          <w:rFonts w:hint="eastAsia" w:eastAsia="宋体" w:cs="宋体"/>
          <w:b/>
          <w:bCs/>
          <w:color w:val="auto"/>
          <w:sz w:val="24"/>
          <w:szCs w:val="24"/>
          <w:lang w:val="en-US" w:eastAsia="zh-CN"/>
        </w:rPr>
        <w:t xml:space="preserve">9.售后服务要求</w:t>
      </w:r>
      <w:r/>
    </w:p>
    <w:p>
      <w:pPr>
        <w:pStyle w:val="942"/>
        <w:ind w:firstLine="48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（1）供应商需提供售后服务方案、措施等，售后承诺细致，售后服务体系完备，售后服务便捷，响应时间迅速，技术支持保障措施完善。</w:t>
      </w:r>
      <w:r/>
    </w:p>
    <w:p>
      <w:pPr>
        <w:pStyle w:val="942"/>
        <w:ind w:firstLine="48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（2）提供7×24小时免人工费、免服务费的服务，服务响应时间30分钟，售后问题时间控制在1小时内。需要现场服务的，12小时内派遣具有解决故障能力的技术人员到达现场。</w:t>
      </w:r>
      <w:r/>
    </w:p>
    <w:p>
      <w:pPr>
        <w:ind w:left="0" w:right="0" w:firstLine="480"/>
        <w:spacing w:before="240" w:after="240" w:line="85"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rPr>
        <w:t xml:space="preserve">（3）对于采购人提出的服务需求，现场售后服务无法解决的问题，售后服务中心应第一时间记录并立即采取响应措施。 </w:t>
      </w:r>
      <w:r/>
    </w:p>
    <w:p>
      <w:pPr>
        <w:ind w:left="0" w:right="0" w:firstLine="480"/>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（4）本项目的售后服务方式包括但不限于：电话支持服务、邮件支持服务、在线远程支持服务、定期用户巡访服务、现场紧急服务、技术支持服务、技术咨询服务、对用户重要活动的支持服务等。</w:t>
      </w:r>
      <w:r/>
    </w:p>
    <w:p>
      <w:pPr>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十、人员配备要求</w:t>
      </w:r>
      <w:r/>
    </w:p>
    <w:p>
      <w:pPr>
        <w:ind w:firstLine="488"/>
        <w:jc w:val="left"/>
        <w:keepLines w:val="0"/>
        <w:pageBreakBefore w:val="0"/>
        <w:spacing w:line="360" w:lineRule="auto"/>
        <w:widowControl/>
        <w:rPr>
          <w:rFonts w:hint="eastAsia" w:ascii="宋体" w:hAnsi="宋体" w:cs="宋体"/>
          <w:sz w:val="28"/>
          <w:szCs w:val="36"/>
        </w:rPr>
      </w:pPr>
      <w:r>
        <w:rPr>
          <w:rFonts w:hint="eastAsia" w:ascii="宋体" w:hAnsi="宋体" w:eastAsia="宋体" w:cs="宋体"/>
          <w:spacing w:val="2"/>
          <w:sz w:val="24"/>
          <w:szCs w:val="24"/>
        </w:rPr>
        <w:t xml:space="preserve">为保证各包按时按质完成工作任务，中标供应商在开展项目工作时，须投入能够满足工期进度要求的技术人员数量</w:t>
      </w: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本项目至少需配备16人</w:t>
      </w:r>
      <w:r>
        <w:rPr>
          <w:rFonts w:hint="eastAsia" w:ascii="宋体" w:hAnsi="宋体" w:eastAsia="宋体" w:cs="宋体"/>
          <w:spacing w:val="2"/>
          <w:sz w:val="24"/>
          <w:szCs w:val="24"/>
        </w:rPr>
        <w:t xml:space="preserve">。</w:t>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第五章  评审方法与评审标准</w:t>
      </w:r>
      <w:r/>
    </w:p>
    <w:p>
      <w:pPr>
        <w:rPr>
          <w:rFonts w:ascii="Times New Roman" w:hAnsi="Times New Roman"/>
          <w:szCs w:val="21"/>
        </w:rPr>
      </w:pPr>
      <w:r>
        <w:rPr>
          <w:rFonts w:ascii="Times New Roman" w:hAnsi="Times New Roman"/>
          <w:szCs w:val="21"/>
        </w:rPr>
      </w:r>
      <w:r/>
    </w:p>
    <w:p>
      <w:pPr>
        <w:pStyle w:val="916"/>
        <w:ind w:firstLine="439"/>
        <w:rPr>
          <w:rFonts w:cs="Arial"/>
          <w:color w:val="000000"/>
        </w:rPr>
      </w:pPr>
      <w:r>
        <w:rPr>
          <w:rFonts w:cs="Arial"/>
          <w:color w:val="000000"/>
        </w:rPr>
        <w:t xml:space="preserve">采用综合评分法的，评标结果按评审后得分由高到低顺序排列。得分相同的，按报价由低到高顺序排列。得分且报价相同的并列。</w:t>
      </w:r>
      <w:r/>
    </w:p>
    <w:tbl>
      <w:tblPr>
        <w:tblStyle w:val="8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2520"/>
        <w:gridCol w:w="4128"/>
      </w:tblGrid>
      <w:tr>
        <w:trPr/>
        <w:tc>
          <w:tcPr>
            <w:tcW w:w="1304" w:type="dxa"/>
            <w:vAlign w:val="top"/>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520" w:type="dxa"/>
            <w:vAlign w:val="top"/>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成交候选人数量</w:t>
            </w:r>
            <w:r/>
          </w:p>
        </w:tc>
        <w:tc>
          <w:tcPr>
            <w:tcW w:w="4128" w:type="dxa"/>
            <w:vAlign w:val="top"/>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成交候选人的原则</w:t>
            </w:r>
            <w:r/>
          </w:p>
        </w:tc>
      </w:tr>
      <w:tr>
        <w:trPr/>
        <w:tc>
          <w:tcPr>
            <w:tcW w:w="1304" w:type="dxa"/>
            <w:vAlign w:val="top"/>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520" w:type="dxa"/>
            <w:vAlign w:val="top"/>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128" w:type="dxa"/>
            <w:vAlign w:val="top"/>
            <w:textDirection w:val="lrTb"/>
            <w:noWrap w:val="false"/>
          </w:tcPr>
          <w:p>
            <w:pPr>
              <w:jc w:val="left"/>
              <w:rPr>
                <w:rFonts w:ascii="宋体" w:hAnsi="宋体"/>
                <w:sz w:val="24"/>
                <w:szCs w:val="24"/>
              </w:rPr>
            </w:pPr>
            <w:r>
              <w:rPr>
                <w:rFonts w:hint="eastAsia" w:ascii="宋体" w:hAnsi="宋体"/>
                <w:sz w:val="24"/>
                <w:szCs w:val="24"/>
              </w:rPr>
              <w:t xml:space="preserve">满足磋商文件全部实质性要求，且按照评审因素的量化指标评审得分最高的供应商为成交候选人。</w:t>
            </w:r>
            <w:r/>
          </w:p>
        </w:tc>
      </w:tr>
    </w:tbl>
    <w:p>
      <w:pPr>
        <w:pStyle w:val="916"/>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5439"/>
      </w:tblGrid>
      <w:tr>
        <w:trPr/>
        <w:tc>
          <w:tcPr>
            <w:tcW w:w="1357" w:type="dxa"/>
            <w:vAlign w:val="top"/>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439" w:type="dxa"/>
            <w:vAlign w:val="top"/>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top"/>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5439" w:type="dxa"/>
            <w:vAlign w:val="top"/>
            <w:textDirection w:val="lrTb"/>
            <w:noWrap w:val="false"/>
          </w:tcPr>
          <w:p>
            <w:pPr>
              <w:jc w:val="center"/>
              <w:rPr>
                <w:rFonts w:ascii="宋体" w:hAnsi="宋体"/>
                <w:sz w:val="24"/>
                <w:szCs w:val="24"/>
              </w:rPr>
            </w:pPr>
            <w:r>
              <w:rPr>
                <w:rFonts w:ascii="宋体" w:hAnsi="宋体"/>
                <w:sz w:val="24"/>
                <w:szCs w:val="24"/>
              </w:rPr>
            </w:r>
            <w:r/>
          </w:p>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highlight w:val="yellow"/>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6"/>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w:t>
      </w:r>
      <w:r>
        <w:rPr>
          <w:rFonts w:hint="eastAsia" w:ascii="宋体" w:hAnsi="宋体"/>
          <w:color w:val="000000"/>
          <w:sz w:val="24"/>
          <w:szCs w:val="24"/>
          <w:highlight w:val="none"/>
        </w:rPr>
        <w:t xml:space="preserve">受</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价格扣除，用扣除后的价格参与评审。</w:t>
      </w:r>
      <w:r/>
    </w:p>
    <w:p>
      <w:pPr>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p>
    <w:tbl>
      <w:tblPr>
        <w:tblStyle w:val="844"/>
        <w:tblpPr w:horzAnchor="page" w:tblpX="1537" w:vertAnchor="text" w:tblpY="526" w:leftFromText="180" w:topFromText="0" w:rightFromText="180" w:bottomFromText="0"/>
        <w:tblW w:w="8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7462"/>
      </w:tblGrid>
      <w:tr>
        <w:trPr>
          <w:trHeight w:val="396"/>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评分项</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420"/>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评分</w:t>
            </w:r>
            <w:r>
              <w:rPr>
                <w:rFonts w:hint="eastAsia" w:ascii="宋体" w:hAnsi="宋体" w:eastAsia="宋体" w:cs="宋体"/>
                <w:sz w:val="21"/>
                <w:szCs w:val="21"/>
                <w:lang w:val="en-US" w:eastAsia="zh-CN"/>
              </w:rPr>
              <w:t xml:space="preserve">细则</w:t>
            </w:r>
            <w:r/>
          </w:p>
        </w:tc>
      </w:tr>
      <w:tr>
        <w:trPr>
          <w:trHeight w:val="642"/>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投标报价</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10"/>
              <w:pageBreakBefore w:val="0"/>
              <w:widowControl w:val="off"/>
              <w:rPr>
                <w:rFonts w:hint="eastAsia" w:ascii="宋体" w:hAnsi="宋体"/>
                <w:color w:val="000000"/>
                <w:lang w:val="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lang w:val="zh-CN"/>
              </w:rPr>
              <w:t xml:space="preserve">满足磋商文件要求且最后报价最低的供应商的价格为磋商基准价，其价格分为满分。其他供应商的价格分统一按照下列公式计算：</w:t>
            </w:r>
            <w:r>
              <w:rPr>
                <w:rFonts w:hint="eastAsia" w:ascii="宋体" w:hAnsi="宋体"/>
                <w:color w:val="000000"/>
                <w:lang w:val="zh-CN"/>
              </w:rPr>
            </w:r>
            <w:r/>
          </w:p>
          <w:p>
            <w:pPr>
              <w:ind w:firstLine="210"/>
              <w:pageBreakBefore w:val="0"/>
              <w:widowControl w:val="off"/>
              <w:rPr>
                <w:rFonts w:hint="eastAsia" w:ascii="宋体" w:hAnsi="宋体"/>
                <w:color w:val="000000"/>
                <w:lang w:val="zh-CN"/>
                <w14:ligatures w14:val="none"/>
              </w:rPr>
            </w:pPr>
            <w:r>
              <w:rPr>
                <w:rFonts w:hint="eastAsia" w:ascii="宋体" w:hAnsi="宋体"/>
                <w:color w:val="000000"/>
                <w:lang w:val="zh-CN"/>
              </w:rPr>
              <w:t xml:space="preserve">磋商报价得分=（磋商基准价/最后磋商报价）×10</w:t>
            </w:r>
            <w:r>
              <w:rPr>
                <w:rFonts w:hint="eastAsia" w:ascii="宋体" w:hAnsi="宋体"/>
                <w:color w:val="000000"/>
                <w:lang w:val="zh-CN"/>
              </w:rPr>
              <w:t xml:space="preserve">×</w:t>
            </w:r>
            <w:r>
              <w:rPr>
                <w:rFonts w:hint="eastAsia" w:ascii="宋体" w:hAnsi="宋体"/>
                <w:color w:val="000000"/>
                <w:lang w:val="zh-CN"/>
              </w:rPr>
              <w:t xml:space="preserve">100%</w:t>
            </w:r>
            <w:r>
              <w:rPr>
                <w:rFonts w:hint="eastAsia" w:ascii="宋体" w:hAnsi="宋体"/>
                <w:color w:val="000000"/>
                <w:lang w:val="zh-CN" w:eastAsia="zh-CN"/>
              </w:rPr>
              <w:t xml:space="preserve">（小数点后保留2位）。</w:t>
            </w:r>
            <w:r>
              <w:rPr>
                <w:rFonts w:hint="eastAsia" w:ascii="宋体" w:hAnsi="宋体"/>
                <w:color w:val="000000"/>
                <w:lang w:val="zh-CN"/>
              </w:rPr>
            </w:r>
            <w:r/>
          </w:p>
        </w:tc>
      </w:tr>
      <w:tr>
        <w:trPr>
          <w:trHeight w:val="709"/>
        </w:trPr>
        <w:tc>
          <w:tcPr>
            <w:tcBorders>
              <w:top w:val="single" w:color="auto" w:sz="4" w:space="0"/>
              <w:left w:val="single" w:color="auto" w:sz="4" w:space="0"/>
              <w:right w:val="single" w:color="auto" w:sz="4" w:space="0"/>
            </w:tcBorders>
            <w:tcW w:w="112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项目理解</w:t>
            </w:r>
            <w:r>
              <w:rPr>
                <w:rFonts w:hint="eastAsia" w:ascii="宋体" w:hAnsi="宋体" w:cs="宋体"/>
                <w:sz w:val="21"/>
                <w:szCs w:val="21"/>
                <w:lang w:val="en-US" w:eastAsia="zh-CN"/>
              </w:rPr>
              <w:t xml:space="preserve">方案</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根据供应商针对本项目的理解分析进行评分。</w:t>
            </w:r>
            <w:r/>
          </w:p>
          <w:p>
            <w:pPr>
              <w:ind w:firstLine="210"/>
              <w:pageBreakBefore w:val="0"/>
              <w:widowControl w:val="off"/>
              <w:rPr>
                <w:rFonts w:hint="eastAsia" w:ascii="宋体" w:hAnsi="宋体" w:eastAsia="宋体" w:cs="宋体"/>
                <w:spacing w:val="-4"/>
                <w:szCs w:val="21"/>
                <w:lang w:val="en-US" w:eastAsia="zh-CN"/>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709"/>
        </w:trPr>
        <w:tc>
          <w:tcPr>
            <w:tcBorders>
              <w:left w:val="single" w:color="auto" w:sz="4" w:space="0"/>
              <w:right w:val="single" w:color="auto" w:sz="4" w:space="0"/>
            </w:tcBorders>
            <w:tcW w:w="1125"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技术方案（5分）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根据供应商对项目的理解、针对本项目制定的</w:t>
            </w:r>
            <w:r>
              <w:rPr>
                <w:rFonts w:hint="eastAsia" w:ascii="宋体" w:hAnsi="宋体" w:eastAsia="宋体" w:cs="宋体"/>
                <w:spacing w:val="-4"/>
                <w:szCs w:val="21"/>
                <w:lang w:val="en-US" w:eastAsia="zh-CN"/>
              </w:rPr>
              <w:t xml:space="preserve">技术</w:t>
            </w:r>
            <w:r>
              <w:rPr>
                <w:rFonts w:hint="eastAsia" w:ascii="宋体" w:hAnsi="宋体" w:eastAsia="宋体" w:cs="宋体"/>
                <w:spacing w:val="-4"/>
                <w:szCs w:val="21"/>
              </w:rPr>
              <w:t xml:space="preserve">方案及</w:t>
            </w:r>
            <w:r>
              <w:rPr>
                <w:rFonts w:hint="eastAsia" w:ascii="宋体" w:hAnsi="宋体" w:eastAsia="宋体" w:cs="宋体"/>
                <w:spacing w:val="-4"/>
                <w:szCs w:val="21"/>
                <w:lang w:val="en-US" w:eastAsia="zh-CN"/>
              </w:rPr>
              <w:t xml:space="preserve">作业</w:t>
            </w:r>
            <w:r>
              <w:rPr>
                <w:rFonts w:hint="eastAsia" w:ascii="宋体" w:hAnsi="宋体" w:eastAsia="宋体" w:cs="宋体"/>
                <w:spacing w:val="-4"/>
                <w:szCs w:val="21"/>
              </w:rPr>
              <w:t xml:space="preserve">流程的科学性、合理性、统筹性等进行评分</w:t>
            </w:r>
            <w:r/>
          </w:p>
          <w:p>
            <w:pPr>
              <w:ind w:firstLine="210"/>
              <w:jc w:val="left"/>
              <w:pageBreakBefore w:val="0"/>
              <w:spacing w:line="280" w:lineRule="exact"/>
              <w:widowControl w:val="off"/>
              <w:rPr>
                <w:rFonts w:hint="eastAsia" w:ascii="宋体" w:hAnsi="宋体" w:eastAsia="宋体" w:cs="宋体"/>
                <w:sz w:val="21"/>
                <w:szCs w:val="21"/>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709"/>
        </w:trPr>
        <w:tc>
          <w:tcPr>
            <w:tcBorders>
              <w:left w:val="single" w:color="auto" w:sz="4" w:space="0"/>
              <w:right w:val="single" w:color="auto" w:sz="4" w:space="0"/>
            </w:tcBorders>
            <w:tcW w:w="1125"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重难点分析</w:t>
            </w:r>
            <w:r>
              <w:rPr>
                <w:rFonts w:hint="eastAsia" w:ascii="宋体" w:hAnsi="宋体" w:cs="宋体"/>
                <w:sz w:val="21"/>
                <w:szCs w:val="21"/>
                <w:lang w:val="en-US" w:eastAsia="zh-CN"/>
              </w:rPr>
              <w:t xml:space="preserve">方案</w:t>
            </w:r>
            <w:r>
              <w:rPr>
                <w:rFonts w:hint="eastAsia" w:ascii="宋体" w:hAnsi="宋体" w:eastAsia="宋体" w:cs="宋体"/>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根据供应商提供的对可能存在的问题进行重点难点分析，提出解决方案或合理化建议</w:t>
            </w:r>
            <w:r>
              <w:rPr>
                <w:rFonts w:hint="eastAsia" w:ascii="宋体" w:hAnsi="宋体" w:cs="宋体"/>
                <w:sz w:val="21"/>
                <w:szCs w:val="21"/>
                <w:lang w:val="en-US" w:eastAsia="zh-CN"/>
              </w:rPr>
              <w:t xml:space="preserve">进行</w:t>
            </w:r>
            <w:r>
              <w:rPr>
                <w:rFonts w:hint="eastAsia" w:ascii="宋体" w:hAnsi="宋体" w:eastAsia="宋体" w:cs="宋体"/>
                <w:sz w:val="21"/>
                <w:szCs w:val="21"/>
                <w:lang w:val="en-US" w:eastAsia="zh-CN"/>
              </w:rPr>
              <w:t xml:space="preserve">评分</w:t>
            </w:r>
            <w:r/>
          </w:p>
          <w:p>
            <w:pPr>
              <w:ind w:firstLine="210"/>
              <w:jc w:val="left"/>
              <w:pageBreakBefore w:val="0"/>
              <w:spacing w:line="280" w:lineRule="exact"/>
              <w:widowControl w:val="off"/>
              <w:rPr>
                <w:rFonts w:hint="eastAsia" w:ascii="宋体" w:hAnsi="宋体" w:eastAsia="宋体" w:cs="宋体"/>
                <w:sz w:val="21"/>
                <w:szCs w:val="21"/>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709"/>
        </w:trPr>
        <w:tc>
          <w:tcPr>
            <w:tcBorders>
              <w:left w:val="single" w:color="auto" w:sz="4" w:space="0"/>
              <w:right w:val="single" w:color="auto" w:sz="4" w:space="0"/>
            </w:tcBorders>
            <w:tcW w:w="1125" w:type="dxa"/>
            <w:vAlign w:val="center"/>
            <w:textDirection w:val="lrTb"/>
            <w:noWrap w:val="false"/>
          </w:tcPr>
          <w:p>
            <w:pPr>
              <w:jc w:val="both"/>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进度安排</w:t>
            </w:r>
            <w:r>
              <w:rPr>
                <w:rFonts w:hint="eastAsia" w:ascii="宋体" w:hAnsi="宋体" w:cs="宋体"/>
                <w:sz w:val="21"/>
                <w:szCs w:val="21"/>
                <w:lang w:val="en-US" w:eastAsia="zh-CN"/>
              </w:rPr>
              <w:t xml:space="preserve">方案</w:t>
            </w:r>
            <w:r/>
          </w:p>
          <w:p>
            <w:pPr>
              <w:jc w:val="both"/>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w:t>
            </w:r>
            <w:r>
              <w:rPr>
                <w:rFonts w:hint="eastAsia" w:ascii="宋体" w:hAnsi="宋体" w:eastAsia="宋体" w:cs="宋体"/>
                <w:spacing w:val="-4"/>
                <w:szCs w:val="21"/>
              </w:rPr>
              <w:t xml:space="preserve">供应商</w:t>
            </w:r>
            <w:r>
              <w:rPr>
                <w:rFonts w:hint="eastAsia" w:ascii="宋体" w:hAnsi="宋体" w:eastAsia="宋体" w:cs="宋体"/>
                <w:sz w:val="21"/>
                <w:szCs w:val="21"/>
                <w:lang w:val="en-US" w:eastAsia="zh-CN"/>
              </w:rPr>
              <w:t xml:space="preserve">针对本项目制定的工期计划等</w:t>
            </w:r>
            <w:r>
              <w:rPr>
                <w:rFonts w:hint="eastAsia" w:ascii="宋体" w:hAnsi="宋体" w:cs="宋体"/>
                <w:sz w:val="21"/>
                <w:szCs w:val="21"/>
                <w:lang w:val="en-US" w:eastAsia="zh-CN"/>
              </w:rPr>
              <w:t xml:space="preserve">进行</w:t>
            </w:r>
            <w:r>
              <w:rPr>
                <w:rFonts w:hint="eastAsia" w:ascii="宋体" w:hAnsi="宋体" w:eastAsia="宋体" w:cs="宋体"/>
                <w:sz w:val="21"/>
                <w:szCs w:val="21"/>
                <w:lang w:val="en-US" w:eastAsia="zh-CN"/>
              </w:rPr>
              <w:t xml:space="preserve">评分</w:t>
            </w:r>
            <w:r/>
          </w:p>
          <w:p>
            <w:pPr>
              <w:ind w:firstLine="210"/>
              <w:jc w:val="both"/>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666"/>
        </w:trPr>
        <w:tc>
          <w:tcPr>
            <w:tcBorders>
              <w:left w:val="single" w:color="auto" w:sz="4" w:space="0"/>
              <w:right w:val="single" w:color="auto" w:sz="4" w:space="0"/>
            </w:tcBorders>
            <w:tcW w:w="1125"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质量保证措施</w:t>
            </w:r>
            <w:r>
              <w:rPr>
                <w:rFonts w:hint="eastAsia" w:ascii="宋体" w:hAnsi="宋体" w:cs="宋体"/>
                <w:sz w:val="21"/>
                <w:szCs w:val="21"/>
                <w:lang w:val="en-US" w:eastAsia="zh-CN"/>
              </w:rPr>
              <w:t xml:space="preserve">方案</w:t>
            </w:r>
            <w:r/>
          </w:p>
          <w:p>
            <w:p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（5分）</w:t>
            </w:r>
            <w:r/>
          </w:p>
          <w:p>
            <w:pPr>
              <w:ind w:firstLine="42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10"/>
              <w:jc w:val="both"/>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w:t>
            </w:r>
            <w:r>
              <w:rPr>
                <w:rFonts w:hint="eastAsia" w:ascii="宋体" w:hAnsi="宋体" w:eastAsia="宋体" w:cs="宋体"/>
                <w:spacing w:val="-4"/>
                <w:szCs w:val="21"/>
              </w:rPr>
              <w:t xml:space="preserve">供应商</w:t>
            </w:r>
            <w:r>
              <w:rPr>
                <w:rFonts w:hint="eastAsia" w:ascii="宋体" w:hAnsi="宋体" w:eastAsia="宋体" w:cs="宋体"/>
                <w:sz w:val="21"/>
                <w:szCs w:val="21"/>
                <w:lang w:val="en-US" w:eastAsia="zh-CN"/>
              </w:rPr>
              <w:t xml:space="preserve">针对本项目制定的质量保证方案及措施</w:t>
            </w:r>
            <w:r>
              <w:rPr>
                <w:rFonts w:hint="eastAsia" w:ascii="宋体" w:hAnsi="宋体" w:cs="宋体"/>
                <w:sz w:val="21"/>
                <w:szCs w:val="21"/>
                <w:lang w:val="en-US" w:eastAsia="zh-CN"/>
              </w:rPr>
              <w:t xml:space="preserve">进行</w:t>
            </w:r>
            <w:r>
              <w:rPr>
                <w:rFonts w:hint="eastAsia" w:ascii="宋体" w:hAnsi="宋体" w:eastAsia="宋体" w:cs="宋体"/>
                <w:sz w:val="21"/>
                <w:szCs w:val="21"/>
                <w:lang w:val="en-US" w:eastAsia="zh-CN"/>
              </w:rPr>
              <w:t xml:space="preserve">评分</w:t>
            </w:r>
            <w:r/>
          </w:p>
          <w:p>
            <w:pPr>
              <w:ind w:firstLine="210"/>
              <w:jc w:val="both"/>
              <w:pageBreakBefore w:val="0"/>
              <w:spacing w:line="240" w:lineRule="auto"/>
              <w:widowControl w:val="off"/>
              <w:rPr>
                <w:rFonts w:hint="eastAsia" w:ascii="宋体" w:hAnsi="宋体" w:eastAsia="宋体" w:cs="宋体"/>
                <w:sz w:val="21"/>
                <w:szCs w:val="21"/>
                <w:lang w:val="en-US" w:eastAsia="zh-CN"/>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305"/>
        </w:trPr>
        <w:tc>
          <w:tcPr>
            <w:tcBorders>
              <w:left w:val="single" w:color="auto" w:sz="4" w:space="0"/>
              <w:right w:val="single" w:color="auto" w:sz="4" w:space="0"/>
            </w:tcBorders>
            <w:tcW w:w="1125" w:type="dxa"/>
            <w:vAlign w:val="center"/>
            <w:textDirection w:val="lrTb"/>
            <w:noWrap w:val="false"/>
          </w:tcPr>
          <w:p>
            <w:pPr>
              <w:jc w:val="center"/>
              <w:rPr>
                <w:rFonts w:hint="eastAsia" w:ascii="宋体" w:hAnsi="宋体" w:eastAsia="宋体" w:cs="宋体"/>
                <w:spacing w:val="-4"/>
                <w:szCs w:val="21"/>
                <w:lang w:val="en-US" w:eastAsia="zh-CN"/>
              </w:rPr>
            </w:pPr>
            <w:r>
              <w:rPr>
                <w:rFonts w:hint="eastAsia" w:ascii="宋体" w:hAnsi="宋体" w:eastAsia="宋体" w:cs="宋体"/>
                <w:spacing w:val="-4"/>
                <w:szCs w:val="21"/>
                <w:lang w:val="en-US" w:eastAsia="zh-CN"/>
              </w:rPr>
              <w:t xml:space="preserve">项目组</w:t>
            </w:r>
            <w:r/>
          </w:p>
          <w:p>
            <w:pPr>
              <w:jc w:val="center"/>
              <w:rPr>
                <w:rFonts w:hint="default" w:ascii="宋体" w:hAnsi="宋体" w:eastAsia="宋体" w:cs="宋体"/>
                <w:spacing w:val="-4"/>
                <w:szCs w:val="21"/>
                <w:lang w:val="en-US" w:eastAsia="zh-CN"/>
              </w:rPr>
            </w:pPr>
            <w:r>
              <w:rPr>
                <w:rFonts w:hint="eastAsia" w:ascii="宋体" w:hAnsi="宋体" w:eastAsia="宋体" w:cs="宋体"/>
                <w:spacing w:val="-4"/>
                <w:szCs w:val="21"/>
                <w:lang w:val="en-US" w:eastAsia="zh-CN"/>
              </w:rPr>
              <w:t xml:space="preserve">织管理</w:t>
            </w:r>
            <w:r>
              <w:rPr>
                <w:rFonts w:hint="eastAsia" w:ascii="宋体" w:hAnsi="宋体" w:cs="宋体"/>
                <w:spacing w:val="-4"/>
                <w:szCs w:val="21"/>
                <w:lang w:val="en-US" w:eastAsia="zh-CN"/>
              </w:rPr>
              <w:t xml:space="preserve">方案</w:t>
            </w:r>
            <w:r/>
          </w:p>
          <w:p>
            <w:pPr>
              <w:jc w:val="center"/>
              <w:rPr>
                <w:rFonts w:hint="eastAsia" w:ascii="宋体" w:hAnsi="宋体" w:eastAsia="宋体" w:cs="宋体"/>
                <w:spacing w:val="-4"/>
                <w:szCs w:val="21"/>
                <w:lang w:val="en-US" w:eastAsia="zh-CN"/>
              </w:rPr>
            </w:pPr>
            <w:r>
              <w:rPr>
                <w:rFonts w:hint="eastAsia" w:ascii="宋体" w:hAnsi="宋体" w:eastAsia="宋体" w:cs="宋体"/>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根据供应商针对项目的作业环境和作业区域特点制定的管理制度</w:t>
            </w:r>
            <w:r>
              <w:rPr>
                <w:rFonts w:hint="eastAsia" w:ascii="宋体" w:hAnsi="宋体" w:cs="宋体"/>
                <w:spacing w:val="-4"/>
                <w:szCs w:val="21"/>
                <w:lang w:val="en-US" w:eastAsia="zh-CN"/>
              </w:rPr>
              <w:t xml:space="preserve">进行</w:t>
            </w:r>
            <w:r>
              <w:rPr>
                <w:rFonts w:hint="eastAsia" w:ascii="宋体" w:hAnsi="宋体" w:eastAsia="宋体" w:cs="宋体"/>
                <w:spacing w:val="-4"/>
                <w:szCs w:val="21"/>
              </w:rPr>
              <w:t xml:space="preserve">综合评分</w:t>
            </w:r>
            <w:r/>
          </w:p>
          <w:p>
            <w:pPr>
              <w:ind w:firstLine="210"/>
              <w:pageBreakBefore w:val="0"/>
              <w:widowControl w:val="off"/>
              <w:rPr>
                <w:rFonts w:hint="eastAsia" w:ascii="宋体" w:hAnsi="宋体" w:eastAsia="宋体" w:cs="宋体"/>
                <w:spacing w:val="-4"/>
                <w:szCs w:val="21"/>
                <w:lang w:val="en-US" w:eastAsia="zh-CN"/>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90"/>
        </w:trPr>
        <w:tc>
          <w:tcPr>
            <w:tcBorders>
              <w:left w:val="single" w:color="auto" w:sz="4" w:space="0"/>
              <w:right w:val="single" w:color="auto" w:sz="4" w:space="0"/>
            </w:tcBorders>
            <w:tcW w:w="1125" w:type="dxa"/>
            <w:vAlign w:val="center"/>
            <w:textDirection w:val="lrTb"/>
            <w:noWrap w:val="false"/>
          </w:tcPr>
          <w:p>
            <w:pPr>
              <w:jc w:val="center"/>
              <w:rPr>
                <w:rFonts w:hint="default" w:ascii="宋体" w:hAnsi="宋体" w:eastAsia="宋体" w:cs="宋体"/>
                <w:spacing w:val="-4"/>
                <w:szCs w:val="21"/>
                <w:lang w:val="en-US" w:eastAsia="zh-CN"/>
              </w:rPr>
            </w:pPr>
            <w:r>
              <w:rPr>
                <w:rFonts w:hint="eastAsia" w:ascii="宋体" w:hAnsi="宋体" w:cs="宋体"/>
                <w:spacing w:val="-4"/>
                <w:szCs w:val="21"/>
                <w:lang w:val="en-US" w:eastAsia="zh-CN"/>
              </w:rPr>
              <w:t xml:space="preserve">安全生产管理方案</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根据供应商针对项目</w:t>
            </w:r>
            <w:r>
              <w:rPr>
                <w:rFonts w:hint="eastAsia" w:ascii="宋体" w:hAnsi="宋体" w:cs="宋体"/>
                <w:spacing w:val="-4"/>
                <w:szCs w:val="21"/>
                <w:lang w:val="en-US" w:eastAsia="zh-CN"/>
              </w:rPr>
              <w:t xml:space="preserve">制定</w:t>
            </w:r>
            <w:r>
              <w:rPr>
                <w:rFonts w:hint="eastAsia" w:ascii="宋体" w:hAnsi="宋体" w:eastAsia="宋体" w:cs="宋体"/>
                <w:spacing w:val="-4"/>
                <w:szCs w:val="21"/>
              </w:rPr>
              <w:t xml:space="preserve">的安全</w:t>
            </w:r>
            <w:r>
              <w:rPr>
                <w:rFonts w:hint="eastAsia" w:ascii="宋体" w:hAnsi="宋体" w:cs="宋体"/>
                <w:spacing w:val="-4"/>
                <w:szCs w:val="21"/>
                <w:lang w:val="en-US" w:eastAsia="zh-CN"/>
              </w:rPr>
              <w:t xml:space="preserve">生产与设备管理</w:t>
            </w:r>
            <w:r>
              <w:rPr>
                <w:rFonts w:hint="eastAsia" w:ascii="宋体" w:hAnsi="宋体" w:eastAsia="宋体" w:cs="宋体"/>
                <w:spacing w:val="-4"/>
                <w:szCs w:val="21"/>
              </w:rPr>
              <w:t xml:space="preserve">制度</w:t>
            </w:r>
            <w:r>
              <w:rPr>
                <w:rFonts w:hint="eastAsia" w:ascii="宋体" w:hAnsi="宋体" w:cs="宋体"/>
                <w:spacing w:val="-4"/>
                <w:szCs w:val="21"/>
                <w:lang w:val="en-US" w:eastAsia="zh-CN"/>
              </w:rPr>
              <w:t xml:space="preserve">进行</w:t>
            </w:r>
            <w:r>
              <w:rPr>
                <w:rFonts w:hint="eastAsia" w:ascii="宋体" w:hAnsi="宋体" w:eastAsia="宋体" w:cs="宋体"/>
                <w:spacing w:val="-4"/>
                <w:szCs w:val="21"/>
              </w:rPr>
              <w:t xml:space="preserve">评分</w:t>
            </w:r>
            <w:r/>
          </w:p>
          <w:p>
            <w:pPr>
              <w:ind w:firstLine="210"/>
              <w:pageBreakBefore w:val="0"/>
              <w:widowControl w:val="off"/>
              <w:rPr>
                <w:rFonts w:hint="eastAsia" w:ascii="宋体" w:hAnsi="宋体"/>
                <w:color w:val="000000"/>
                <w:lang w:val="zh-CN"/>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745"/>
        </w:trPr>
        <w:tc>
          <w:tcPr>
            <w:tcBorders>
              <w:left w:val="single" w:color="auto" w:sz="4" w:space="0"/>
              <w:right w:val="single" w:color="auto" w:sz="4" w:space="0"/>
            </w:tcBorders>
            <w:tcW w:w="1125"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数据安全保密措施方案（5分）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根据供应商针对项目的</w:t>
            </w:r>
            <w:r>
              <w:rPr>
                <w:rFonts w:hint="eastAsia" w:ascii="宋体" w:hAnsi="宋体" w:cs="宋体"/>
                <w:spacing w:val="-4"/>
                <w:szCs w:val="21"/>
                <w:lang w:val="en-US" w:eastAsia="zh-CN"/>
              </w:rPr>
              <w:t xml:space="preserve">制定的</w:t>
            </w:r>
            <w:r>
              <w:rPr>
                <w:rFonts w:hint="eastAsia" w:ascii="宋体" w:hAnsi="宋体" w:eastAsia="宋体" w:cs="宋体"/>
                <w:spacing w:val="-4"/>
                <w:szCs w:val="21"/>
              </w:rPr>
              <w:t xml:space="preserve">数据安全保密措施</w:t>
            </w:r>
            <w:r>
              <w:rPr>
                <w:rFonts w:hint="eastAsia" w:ascii="宋体" w:hAnsi="宋体" w:cs="宋体"/>
                <w:spacing w:val="-4"/>
                <w:szCs w:val="21"/>
                <w:lang w:val="en-US" w:eastAsia="zh-CN"/>
              </w:rPr>
              <w:t xml:space="preserve">进行</w:t>
            </w:r>
            <w:r>
              <w:rPr>
                <w:rFonts w:hint="eastAsia" w:ascii="宋体" w:hAnsi="宋体" w:eastAsia="宋体" w:cs="宋体"/>
                <w:spacing w:val="-4"/>
                <w:szCs w:val="21"/>
              </w:rPr>
              <w:t xml:space="preserve">评分</w:t>
            </w:r>
            <w:r/>
          </w:p>
          <w:p>
            <w:pPr>
              <w:ind w:firstLine="210"/>
              <w:pageBreakBefore w:val="0"/>
              <w:widowControl w:val="off"/>
              <w:rPr>
                <w:rFonts w:hint="eastAsia" w:ascii="宋体" w:hAnsi="宋体" w:cs="宋体"/>
                <w:szCs w:val="21"/>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745"/>
        </w:trPr>
        <w:tc>
          <w:tcPr>
            <w:tcBorders>
              <w:left w:val="single" w:color="auto" w:sz="4" w:space="0"/>
              <w:right w:val="single" w:color="auto" w:sz="4" w:space="0"/>
            </w:tcBorders>
            <w:tcW w:w="112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售后服</w:t>
            </w:r>
            <w:r/>
          </w:p>
          <w:p>
            <w:pPr>
              <w:jc w:val="center"/>
              <w:rPr>
                <w:rFonts w:hint="eastAsia" w:ascii="宋体" w:hAnsi="宋体" w:eastAsia="宋体" w:cs="宋体"/>
                <w:spacing w:val="-4"/>
                <w:szCs w:val="21"/>
              </w:rPr>
            </w:pPr>
            <w:r>
              <w:rPr>
                <w:rFonts w:hint="eastAsia" w:ascii="宋体" w:hAnsi="宋体" w:eastAsia="宋体" w:cs="宋体"/>
                <w:spacing w:val="-4"/>
                <w:szCs w:val="21"/>
              </w:rPr>
              <w:t xml:space="preserve">务方案</w:t>
            </w:r>
            <w:r/>
          </w:p>
          <w:p>
            <w:pPr>
              <w:jc w:val="center"/>
              <w:rPr>
                <w:rFonts w:hint="eastAsia" w:ascii="宋体" w:hAnsi="宋体" w:eastAsia="宋体" w:cs="宋体"/>
                <w:spacing w:val="-4"/>
                <w:szCs w:val="21"/>
              </w:rPr>
            </w:pPr>
            <w:r>
              <w:rPr>
                <w:rFonts w:hint="eastAsia" w:ascii="宋体" w:hAnsi="宋体" w:eastAsia="宋体" w:cs="宋体"/>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根据供应商针对本项目制定售后服务方案的可操作性等</w:t>
            </w:r>
            <w:r>
              <w:rPr>
                <w:rFonts w:hint="eastAsia" w:ascii="宋体" w:hAnsi="宋体" w:cs="宋体"/>
                <w:spacing w:val="-4"/>
                <w:szCs w:val="21"/>
                <w:lang w:val="en-US" w:eastAsia="zh-CN"/>
              </w:rPr>
              <w:t xml:space="preserve">进行</w:t>
            </w:r>
            <w:r>
              <w:rPr>
                <w:rFonts w:hint="eastAsia" w:ascii="宋体" w:hAnsi="宋体" w:eastAsia="宋体" w:cs="宋体"/>
                <w:spacing w:val="-4"/>
                <w:szCs w:val="21"/>
              </w:rPr>
              <w:t xml:space="preserve">评分</w:t>
            </w:r>
            <w:r/>
          </w:p>
          <w:p>
            <w:pPr>
              <w:ind w:firstLine="210"/>
              <w:pageBreakBefore w:val="0"/>
              <w:widowControl w:val="off"/>
              <w:rPr>
                <w:rFonts w:hint="eastAsia" w:ascii="宋体" w:hAnsi="宋体" w:eastAsia="宋体" w:cs="宋体"/>
                <w:spacing w:val="-4"/>
                <w:szCs w:val="21"/>
              </w:rPr>
            </w:pPr>
            <w:r>
              <w:rPr>
                <w:rFonts w:hint="eastAsia" w:ascii="宋体" w:hAnsi="宋体"/>
                <w:color w:val="000000"/>
                <w:lang w:val="zh-CN"/>
              </w:rPr>
              <w:t xml:space="preserve">优于磋商文件要求的得5分</w:t>
            </w:r>
            <w:r>
              <w:rPr>
                <w:rFonts w:hint="eastAsia" w:ascii="宋体" w:hAnsi="宋体" w:cs="宋体"/>
                <w:color w:val="auto"/>
                <w:szCs w:val="21"/>
              </w:rPr>
              <w:t xml:space="preserve">；</w:t>
            </w:r>
            <w:r>
              <w:rPr>
                <w:rFonts w:hint="eastAsia" w:ascii="宋体" w:hAnsi="宋体"/>
                <w:color w:val="000000"/>
                <w:lang w:val="zh-CN"/>
              </w:rPr>
              <w:t xml:space="preserve">符合磋商文件的得3分</w:t>
            </w:r>
            <w:r>
              <w:rPr>
                <w:rFonts w:hint="eastAsia" w:ascii="宋体" w:hAnsi="宋体" w:cs="宋体"/>
                <w:color w:val="auto"/>
                <w:szCs w:val="21"/>
              </w:rPr>
              <w:t xml:space="preserve">；</w:t>
            </w:r>
            <w:r>
              <w:rPr>
                <w:rFonts w:hint="eastAsia" w:ascii="宋体" w:hAnsi="宋体"/>
                <w:color w:val="000000"/>
                <w:lang w:val="zh-CN"/>
              </w:rPr>
              <w:t xml:space="preserve">不符合磋商文件要求或未提供的不得分。</w:t>
            </w:r>
            <w:r/>
          </w:p>
        </w:tc>
      </w:tr>
      <w:tr>
        <w:trPr>
          <w:trHeight w:val="839"/>
        </w:trPr>
        <w:tc>
          <w:tcPr>
            <w:tcBorders>
              <w:left w:val="single" w:color="auto" w:sz="4" w:space="0"/>
              <w:right w:val="single" w:color="auto" w:sz="4" w:space="0"/>
            </w:tcBorders>
            <w:tcW w:w="112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企业实力</w:t>
            </w:r>
            <w:r>
              <w:rPr>
                <w:rFonts w:hint="eastAsia" w:ascii="宋体" w:hAnsi="宋体" w:eastAsia="宋体" w:cs="宋体"/>
                <w:spacing w:val="-4"/>
                <w:szCs w:val="21"/>
              </w:rPr>
              <w:br/>
            </w:r>
            <w:r>
              <w:rPr>
                <w:rFonts w:hint="eastAsia" w:ascii="宋体" w:hAnsi="宋体" w:eastAsia="宋体" w:cs="宋体"/>
                <w:spacing w:val="-4"/>
                <w:szCs w:val="21"/>
              </w:rPr>
              <w:t xml:space="preserve">（</w:t>
            </w:r>
            <w:r>
              <w:rPr>
                <w:rFonts w:hint="eastAsia" w:ascii="宋体" w:hAnsi="宋体" w:cs="宋体"/>
                <w:spacing w:val="-4"/>
                <w:szCs w:val="21"/>
                <w:lang w:val="en-US" w:eastAsia="zh-CN"/>
              </w:rPr>
              <w:t xml:space="preserve">9</w:t>
            </w:r>
            <w:r>
              <w:rPr>
                <w:rFonts w:hint="eastAsia" w:ascii="宋体" w:hAnsi="宋体" w:eastAsia="宋体" w:cs="宋体"/>
                <w:spacing w:val="-4"/>
                <w:szCs w:val="21"/>
              </w:rPr>
              <w:t xml:space="preserve">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numPr>
                <w:ilvl w:val="0"/>
                <w:numId w:val="0"/>
              </w:numPr>
              <w:ind w:firstLine="202"/>
              <w:pageBreakBefore w:val="0"/>
              <w:widowControl w:val="off"/>
              <w:rPr>
                <w:rFonts w:hint="eastAsia" w:ascii="宋体" w:hAnsi="宋体" w:eastAsia="宋体" w:cs="宋体"/>
                <w:spacing w:val="-4"/>
                <w:szCs w:val="21"/>
                <w:lang w:val="en-US" w:eastAsia="zh-CN"/>
              </w:rPr>
            </w:pPr>
            <w:r>
              <w:rPr>
                <w:rFonts w:hint="eastAsia" w:ascii="宋体" w:hAnsi="宋体" w:cs="宋体"/>
                <w:spacing w:val="-4"/>
                <w:szCs w:val="21"/>
                <w:lang w:val="en-US" w:eastAsia="zh-CN"/>
              </w:rPr>
              <w:t xml:space="preserve">1.</w:t>
            </w:r>
            <w:r>
              <w:rPr>
                <w:rFonts w:hint="eastAsia" w:ascii="宋体" w:hAnsi="宋体" w:eastAsia="宋体" w:cs="宋体"/>
                <w:spacing w:val="-4"/>
                <w:szCs w:val="21"/>
              </w:rPr>
              <w:t xml:space="preserve">供应商</w:t>
            </w:r>
            <w:r>
              <w:rPr>
                <w:rFonts w:hint="eastAsia" w:ascii="宋体" w:hAnsi="宋体" w:eastAsia="宋体" w:cs="宋体"/>
                <w:spacing w:val="-4"/>
                <w:szCs w:val="21"/>
                <w:lang w:val="en-US" w:eastAsia="zh-CN"/>
              </w:rPr>
              <w:t xml:space="preserve">具有有效期内质量管理体系认证证书、职业健康安全管理体系认证证书</w:t>
            </w:r>
            <w:r>
              <w:rPr>
                <w:rFonts w:hint="eastAsia" w:ascii="宋体" w:hAnsi="宋体" w:cs="宋体"/>
                <w:spacing w:val="-4"/>
                <w:szCs w:val="21"/>
                <w:lang w:val="en-US" w:eastAsia="zh-CN"/>
              </w:rPr>
              <w:t xml:space="preserve">、</w:t>
            </w:r>
            <w:r>
              <w:rPr>
                <w:rFonts w:hint="eastAsia" w:ascii="宋体" w:hAnsi="宋体" w:eastAsia="宋体" w:cs="宋体"/>
                <w:spacing w:val="-4"/>
                <w:szCs w:val="21"/>
                <w:lang w:val="en-US" w:eastAsia="zh-CN"/>
              </w:rPr>
              <w:t xml:space="preserve">信息安全管理体系认证证书、信息技术服务管理体系认证证书、知识产权管理体系认证证书、售后服务体系认证证书，有一个得1分，最多</w:t>
            </w:r>
            <w:r>
              <w:rPr>
                <w:rFonts w:hint="eastAsia" w:ascii="宋体" w:hAnsi="宋体" w:cs="宋体"/>
                <w:spacing w:val="-4"/>
                <w:szCs w:val="21"/>
                <w:lang w:val="en-US" w:eastAsia="zh-CN"/>
              </w:rPr>
              <w:t xml:space="preserve">6</w:t>
            </w:r>
            <w:r>
              <w:rPr>
                <w:rFonts w:hint="eastAsia" w:ascii="宋体" w:hAnsi="宋体" w:eastAsia="宋体" w:cs="宋体"/>
                <w:spacing w:val="-4"/>
                <w:szCs w:val="21"/>
                <w:lang w:val="en-US" w:eastAsia="zh-CN"/>
              </w:rPr>
              <w:t xml:space="preserve">分；</w:t>
            </w:r>
            <w:r/>
          </w:p>
          <w:p>
            <w:pPr>
              <w:numPr>
                <w:ilvl w:val="0"/>
                <w:numId w:val="0"/>
              </w:numPr>
              <w:ind w:firstLine="202"/>
              <w:pageBreakBefore w:val="0"/>
              <w:widowControl w:val="off"/>
              <w:rPr>
                <w:rFonts w:hint="eastAsia" w:ascii="宋体" w:hAnsi="宋体" w:cs="宋体"/>
                <w:spacing w:val="-4"/>
                <w:szCs w:val="21"/>
                <w:lang w:val="en-US" w:eastAsia="zh-CN"/>
              </w:rPr>
            </w:pPr>
            <w:r>
              <w:rPr>
                <w:rFonts w:hint="eastAsia" w:ascii="宋体" w:hAnsi="宋体" w:cs="宋体"/>
                <w:spacing w:val="-4"/>
                <w:szCs w:val="21"/>
                <w:lang w:val="en-US" w:eastAsia="zh-CN"/>
              </w:rPr>
              <w:t xml:space="preserve">2.</w:t>
            </w:r>
            <w:r>
              <w:rPr>
                <w:rFonts w:hint="eastAsia" w:ascii="宋体" w:hAnsi="宋体" w:eastAsia="宋体" w:cs="宋体"/>
                <w:spacing w:val="-4"/>
                <w:szCs w:val="21"/>
              </w:rPr>
              <w:t xml:space="preserve">供应商</w:t>
            </w:r>
            <w:r>
              <w:rPr>
                <w:rFonts w:hint="eastAsia" w:ascii="宋体" w:hAnsi="宋体" w:eastAsia="宋体" w:cs="宋体"/>
                <w:spacing w:val="-4"/>
                <w:szCs w:val="21"/>
                <w:lang w:val="en-US" w:eastAsia="zh-CN"/>
              </w:rPr>
              <w:t xml:space="preserve">具有与</w:t>
            </w:r>
            <w:r>
              <w:rPr>
                <w:rFonts w:hint="eastAsia" w:ascii="宋体" w:hAnsi="宋体" w:cs="宋体"/>
                <w:spacing w:val="-4"/>
                <w:szCs w:val="21"/>
                <w:lang w:val="en-US" w:eastAsia="zh-CN"/>
              </w:rPr>
              <w:t xml:space="preserve">项目相关的</w:t>
            </w:r>
            <w:r>
              <w:rPr>
                <w:rFonts w:hint="eastAsia" w:ascii="宋体" w:hAnsi="宋体" w:eastAsia="宋体" w:cs="宋体"/>
                <w:spacing w:val="-4"/>
                <w:szCs w:val="21"/>
                <w:lang w:val="en-US" w:eastAsia="zh-CN"/>
              </w:rPr>
              <w:t xml:space="preserve">软件著作权</w:t>
            </w:r>
            <w:r>
              <w:rPr>
                <w:rFonts w:hint="eastAsia" w:ascii="宋体" w:hAnsi="宋体" w:cs="宋体"/>
                <w:spacing w:val="-4"/>
                <w:szCs w:val="21"/>
                <w:lang w:val="en-US" w:eastAsia="zh-CN"/>
              </w:rPr>
              <w:t xml:space="preserve">，有一个得1分，最多得3分。</w:t>
            </w:r>
            <w:r/>
          </w:p>
          <w:p>
            <w:pPr>
              <w:numPr>
                <w:ilvl w:val="0"/>
                <w:numId w:val="0"/>
              </w:numPr>
              <w:ind w:firstLine="202"/>
              <w:pageBreakBefore w:val="0"/>
              <w:widowControl w:val="off"/>
              <w:rPr>
                <w:rFonts w:hint="eastAsia" w:ascii="宋体" w:hAnsi="宋体" w:eastAsia="宋体" w:cs="宋体"/>
                <w:spacing w:val="-4"/>
                <w:szCs w:val="21"/>
                <w:lang w:val="en-US" w:eastAsia="zh-CN"/>
              </w:rPr>
            </w:pPr>
            <w:r>
              <w:rPr>
                <w:rFonts w:hint="eastAsia" w:ascii="宋体" w:hAnsi="宋体" w:eastAsia="宋体" w:cs="宋体"/>
                <w:spacing w:val="-4"/>
                <w:szCs w:val="21"/>
                <w:lang w:val="en-US" w:eastAsia="zh-CN"/>
              </w:rPr>
              <w:t xml:space="preserve">注：须提供相关证书原件扫描上传。</w:t>
            </w:r>
            <w:r/>
          </w:p>
        </w:tc>
      </w:tr>
      <w:tr>
        <w:trPr>
          <w:trHeight w:val="928"/>
        </w:trPr>
        <w:tc>
          <w:tcPr>
            <w:tcBorders>
              <w:left w:val="single" w:color="auto" w:sz="4" w:space="0"/>
              <w:right w:val="single" w:color="auto" w:sz="4" w:space="0"/>
            </w:tcBorders>
            <w:tcW w:w="112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业绩</w:t>
            </w:r>
            <w:r/>
          </w:p>
          <w:p>
            <w:pPr>
              <w:jc w:val="center"/>
              <w:rPr>
                <w:rFonts w:hint="eastAsia" w:ascii="宋体" w:hAnsi="宋体" w:eastAsia="宋体" w:cs="宋体"/>
                <w:spacing w:val="-4"/>
                <w:szCs w:val="21"/>
              </w:rPr>
            </w:pPr>
            <w:r>
              <w:rPr>
                <w:rFonts w:hint="eastAsia" w:ascii="宋体" w:hAnsi="宋体" w:eastAsia="宋体" w:cs="宋体"/>
                <w:spacing w:val="-4"/>
                <w:szCs w:val="21"/>
              </w:rPr>
              <w:t xml:space="preserve">(</w:t>
            </w:r>
            <w:r>
              <w:rPr>
                <w:rFonts w:hint="eastAsia" w:ascii="宋体" w:hAnsi="宋体" w:cs="宋体"/>
                <w:spacing w:val="-4"/>
                <w:szCs w:val="21"/>
                <w:lang w:val="en-US" w:eastAsia="zh-CN"/>
              </w:rPr>
              <w:t xml:space="preserve">10</w:t>
            </w:r>
            <w:r>
              <w:rPr>
                <w:rFonts w:hint="eastAsia" w:ascii="宋体" w:hAnsi="宋体" w:eastAsia="宋体" w:cs="宋体"/>
                <w:spacing w:val="-4"/>
                <w:szCs w:val="21"/>
              </w:rPr>
              <w:t xml:space="preserve">分)</w:t>
            </w:r>
            <w:r/>
          </w:p>
        </w:tc>
        <w:tc>
          <w:tcPr>
            <w:tcBorders>
              <w:top w:val="single" w:color="auto" w:sz="4" w:space="0"/>
              <w:left w:val="single" w:color="auto" w:sz="4" w:space="0"/>
              <w:bottom w:val="single" w:color="auto" w:sz="4" w:space="0"/>
              <w:right w:val="single" w:color="auto" w:sz="4" w:space="0"/>
            </w:tcBorders>
            <w:tcW w:w="7462" w:type="dxa"/>
            <w:vAlign w:val="center"/>
            <w:textDirection w:val="lrTb"/>
            <w:noWrap w:val="false"/>
          </w:tcPr>
          <w:p>
            <w:pPr>
              <w:ind w:firstLine="202"/>
              <w:pageBreakBefore w:val="0"/>
              <w:widowControl w:val="off"/>
              <w:rPr>
                <w:rFonts w:hint="eastAsia" w:ascii="宋体" w:hAnsi="宋体" w:eastAsia="宋体" w:cs="宋体"/>
                <w:spacing w:val="-4"/>
                <w:szCs w:val="21"/>
              </w:rPr>
            </w:pPr>
            <w:r>
              <w:rPr>
                <w:rFonts w:hint="eastAsia" w:ascii="宋体" w:hAnsi="宋体" w:eastAsia="宋体" w:cs="宋体"/>
                <w:spacing w:val="-4"/>
                <w:szCs w:val="21"/>
              </w:rPr>
              <w:t xml:space="preserve">供应商</w:t>
            </w:r>
            <w:r>
              <w:rPr>
                <w:rFonts w:hint="eastAsia" w:ascii="宋体" w:hAnsi="宋体" w:eastAsia="宋体" w:cs="宋体"/>
                <w:spacing w:val="-4"/>
                <w:szCs w:val="21"/>
                <w:lang w:val="en-US" w:eastAsia="zh-CN"/>
              </w:rPr>
              <w:t xml:space="preserve">自</w:t>
            </w:r>
            <w:r>
              <w:rPr>
                <w:rFonts w:hint="eastAsia" w:ascii="宋体" w:hAnsi="宋体" w:eastAsia="宋体" w:cs="宋体"/>
                <w:spacing w:val="-4"/>
                <w:szCs w:val="21"/>
                <w:highlight w:val="none"/>
                <w:lang w:val="en-US" w:eastAsia="zh-CN"/>
              </w:rPr>
              <w:t xml:space="preserve">202</w:t>
            </w:r>
            <w:r>
              <w:rPr>
                <w:rFonts w:hint="eastAsia" w:ascii="宋体" w:hAnsi="宋体" w:cs="宋体"/>
                <w:spacing w:val="-4"/>
                <w:szCs w:val="21"/>
                <w:highlight w:val="none"/>
                <w:lang w:val="en-US" w:eastAsia="zh-CN"/>
              </w:rPr>
              <w:t xml:space="preserve">2</w:t>
            </w:r>
            <w:r>
              <w:rPr>
                <w:rFonts w:hint="eastAsia" w:ascii="宋体" w:hAnsi="宋体" w:eastAsia="宋体" w:cs="宋体"/>
                <w:spacing w:val="-4"/>
                <w:szCs w:val="21"/>
                <w:lang w:val="en-US" w:eastAsia="zh-CN"/>
              </w:rPr>
              <w:t xml:space="preserve">年</w:t>
            </w:r>
            <w:r>
              <w:rPr>
                <w:rFonts w:hint="eastAsia" w:ascii="宋体" w:hAnsi="宋体"/>
                <w:color w:val="000000"/>
              </w:rPr>
              <w:t xml:space="preserve">1月1日</w:t>
            </w:r>
            <w:r>
              <w:rPr>
                <w:rFonts w:hint="eastAsia" w:ascii="宋体" w:hAnsi="宋体" w:eastAsia="宋体" w:cs="宋体"/>
                <w:spacing w:val="-4"/>
                <w:szCs w:val="21"/>
                <w:lang w:val="en-US" w:eastAsia="zh-CN"/>
              </w:rPr>
              <w:t xml:space="preserve">以来</w:t>
            </w:r>
            <w:r>
              <w:rPr>
                <w:rFonts w:hint="eastAsia" w:ascii="宋体" w:hAnsi="宋体"/>
                <w:color w:val="000000"/>
              </w:rPr>
              <w:t xml:space="preserve">具有类似项目业绩的</w:t>
            </w:r>
            <w:r>
              <w:rPr>
                <w:rFonts w:hint="eastAsia" w:ascii="宋体" w:hAnsi="宋体"/>
                <w:color w:val="000000"/>
                <w:lang w:eastAsia="zh-CN"/>
              </w:rPr>
              <w:t xml:space="preserve">，</w:t>
            </w:r>
            <w:r>
              <w:rPr>
                <w:rFonts w:hint="eastAsia" w:ascii="宋体" w:hAnsi="宋体" w:eastAsia="宋体" w:cs="宋体"/>
                <w:spacing w:val="-4"/>
                <w:szCs w:val="21"/>
              </w:rPr>
              <w:t xml:space="preserve">每提供一个得</w:t>
            </w:r>
            <w:r>
              <w:rPr>
                <w:rFonts w:hint="eastAsia" w:ascii="宋体" w:hAnsi="宋体" w:cs="宋体"/>
                <w:spacing w:val="-4"/>
                <w:szCs w:val="21"/>
                <w:lang w:val="en-US" w:eastAsia="zh-CN"/>
              </w:rPr>
              <w:t xml:space="preserve">2</w:t>
            </w:r>
            <w:r>
              <w:rPr>
                <w:rFonts w:hint="eastAsia" w:ascii="宋体" w:hAnsi="宋体" w:eastAsia="宋体" w:cs="宋体"/>
                <w:spacing w:val="-4"/>
                <w:szCs w:val="21"/>
              </w:rPr>
              <w:t xml:space="preserve">分，满分</w:t>
            </w:r>
            <w:r>
              <w:rPr>
                <w:rFonts w:hint="eastAsia" w:ascii="宋体" w:hAnsi="宋体" w:cs="宋体"/>
                <w:spacing w:val="-4"/>
                <w:szCs w:val="21"/>
                <w:lang w:val="en-US" w:eastAsia="zh-CN"/>
              </w:rPr>
              <w:t xml:space="preserve">10</w:t>
            </w:r>
            <w:r>
              <w:rPr>
                <w:rFonts w:hint="eastAsia" w:ascii="宋体" w:hAnsi="宋体" w:eastAsia="宋体" w:cs="宋体"/>
                <w:spacing w:val="-4"/>
                <w:szCs w:val="21"/>
              </w:rPr>
              <w:t xml:space="preserve">分；</w:t>
            </w:r>
            <w:r/>
          </w:p>
          <w:p>
            <w:pPr>
              <w:ind w:firstLine="210"/>
              <w:pageBreakBefore w:val="0"/>
              <w:widowControl w:val="off"/>
              <w:rPr>
                <w:rFonts w:hint="eastAsia" w:ascii="宋体" w:hAnsi="宋体" w:eastAsia="宋体" w:cs="宋体"/>
                <w:spacing w:val="-4"/>
                <w:szCs w:val="21"/>
              </w:rPr>
            </w:pPr>
            <w:r>
              <w:rPr>
                <w:rFonts w:hint="eastAsia" w:ascii="宋体" w:hAnsi="宋体"/>
                <w:color w:val="000000"/>
              </w:rPr>
              <w:t xml:space="preserve">注:须提供中标通知书或合同原件扫描上传。</w:t>
            </w:r>
            <w:r>
              <w:rPr>
                <w:rFonts w:hint="eastAsia" w:ascii="宋体" w:hAnsi="宋体"/>
                <w:color w:val="000000"/>
                <w:lang w:eastAsia="zh-CN"/>
              </w:rPr>
              <w:t xml:space="preserve">（</w:t>
            </w:r>
            <w:r>
              <w:rPr>
                <w:rFonts w:hint="eastAsia" w:ascii="宋体" w:hAnsi="宋体" w:eastAsia="宋体" w:cs="宋体"/>
                <w:spacing w:val="-4"/>
                <w:szCs w:val="21"/>
              </w:rPr>
              <w:t xml:space="preserve">分包或转包的</w:t>
            </w:r>
            <w:r>
              <w:rPr>
                <w:rFonts w:hint="eastAsia" w:ascii="宋体" w:hAnsi="宋体" w:eastAsia="宋体" w:cs="宋体"/>
                <w:spacing w:val="-4"/>
                <w:szCs w:val="21"/>
                <w:lang w:val="en-US" w:eastAsia="zh-CN"/>
              </w:rPr>
              <w:t xml:space="preserve">业绩不算</w:t>
            </w:r>
            <w:r>
              <w:rPr>
                <w:rFonts w:hint="eastAsia" w:ascii="宋体" w:hAnsi="宋体"/>
                <w:color w:val="000000"/>
                <w:lang w:eastAsia="zh-CN"/>
              </w:rPr>
              <w:t xml:space="preserve">）</w:t>
            </w:r>
            <w:r/>
          </w:p>
        </w:tc>
      </w:tr>
      <w:tr>
        <w:trPr>
          <w:trHeight w:val="1266"/>
        </w:trPr>
        <w:tc>
          <w:tcPr>
            <w:tcBorders>
              <w:left w:val="single" w:color="auto" w:sz="4" w:space="0"/>
              <w:right w:val="single" w:color="auto" w:sz="4" w:space="0"/>
            </w:tcBorders>
            <w:tcW w:w="112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人员配备(</w:t>
            </w:r>
            <w:r>
              <w:rPr>
                <w:rFonts w:hint="eastAsia" w:ascii="宋体" w:hAnsi="宋体" w:eastAsia="宋体" w:cs="宋体"/>
                <w:spacing w:val="-4"/>
                <w:szCs w:val="21"/>
                <w:lang w:val="en-US" w:eastAsia="zh-CN"/>
              </w:rPr>
              <w:t xml:space="preserve">2</w:t>
            </w:r>
            <w:r>
              <w:rPr>
                <w:rFonts w:hint="eastAsia" w:ascii="宋体" w:hAnsi="宋体" w:cs="宋体"/>
                <w:spacing w:val="-4"/>
                <w:szCs w:val="21"/>
                <w:lang w:val="en-US" w:eastAsia="zh-CN"/>
              </w:rPr>
              <w:t xml:space="preserve">6</w:t>
            </w:r>
            <w:r>
              <w:rPr>
                <w:rFonts w:hint="eastAsia" w:ascii="宋体" w:hAnsi="宋体" w:eastAsia="宋体" w:cs="宋体"/>
                <w:spacing w:val="-4"/>
                <w:szCs w:val="21"/>
              </w:rPr>
              <w:t xml:space="preserve">分)</w:t>
            </w:r>
            <w:r/>
          </w:p>
        </w:tc>
        <w:tc>
          <w:tcPr>
            <w:tcBorders>
              <w:top w:val="single" w:color="auto" w:sz="4" w:space="0"/>
              <w:left w:val="single" w:color="auto" w:sz="4" w:space="0"/>
              <w:right w:val="single" w:color="auto" w:sz="4" w:space="0"/>
            </w:tcBorders>
            <w:tcW w:w="7462" w:type="dxa"/>
            <w:vAlign w:val="center"/>
            <w:textDirection w:val="lrTb"/>
            <w:noWrap w:val="false"/>
          </w:tcPr>
          <w:p>
            <w:pPr>
              <w:ind w:left="0" w:right="0" w:firstLine="388"/>
              <w:jc w:val="both"/>
              <w:keepLines/>
              <w:keepNext/>
              <w:pageBreakBefore w:val="0"/>
              <w:spacing w:line="240" w:lineRule="auto"/>
              <w:widowControl w:val="off"/>
              <w:rPr>
                <w:rFonts w:hint="eastAsia" w:ascii="宋体" w:hAnsi="宋体"/>
                <w:szCs w:val="21"/>
                <w:lang w:val="zh-CN"/>
              </w:rPr>
            </w:pPr>
            <w:r>
              <w:rPr>
                <w:rFonts w:hint="eastAsia" w:ascii="宋体" w:hAnsi="宋体"/>
                <w:szCs w:val="21"/>
                <w:lang w:val="zh-CN"/>
              </w:rPr>
              <w:t xml:space="preserve">（1）项目负责人：同时具备</w:t>
            </w:r>
            <w:r>
              <w:rPr>
                <w:rFonts w:hint="eastAsia" w:ascii="宋体" w:hAnsi="宋体"/>
                <w:szCs w:val="21"/>
                <w:lang w:val="en-US" w:eastAsia="zh-CN"/>
              </w:rPr>
              <w:t xml:space="preserve">测绘类</w:t>
            </w:r>
            <w:r>
              <w:rPr>
                <w:rFonts w:hint="eastAsia" w:ascii="宋体" w:hAnsi="宋体"/>
                <w:szCs w:val="21"/>
                <w:lang w:val="zh-CN"/>
              </w:rPr>
              <w:t xml:space="preserve">正高级工程师职称</w:t>
            </w:r>
            <w:r>
              <w:rPr>
                <w:rFonts w:hint="eastAsia" w:ascii="宋体" w:hAnsi="宋体"/>
                <w:szCs w:val="21"/>
                <w:lang w:val="en-US" w:eastAsia="zh-CN"/>
              </w:rPr>
              <w:t xml:space="preserve">和</w:t>
            </w:r>
            <w:r>
              <w:rPr>
                <w:rFonts w:hint="eastAsia" w:ascii="宋体" w:hAnsi="宋体"/>
                <w:szCs w:val="21"/>
                <w:lang w:val="zh-CN"/>
              </w:rPr>
              <w:t xml:space="preserve">注册测绘师证书的得5分，</w:t>
            </w:r>
            <w:r>
              <w:rPr>
                <w:rFonts w:hint="eastAsia" w:ascii="宋体" w:hAnsi="宋体"/>
                <w:szCs w:val="21"/>
                <w:lang w:val="en-US" w:eastAsia="zh-CN"/>
              </w:rPr>
              <w:t xml:space="preserve">同时具备测绘类</w:t>
            </w:r>
            <w:r>
              <w:rPr>
                <w:rFonts w:hint="eastAsia" w:ascii="宋体" w:hAnsi="宋体"/>
                <w:szCs w:val="21"/>
                <w:lang w:val="zh-CN"/>
              </w:rPr>
              <w:t xml:space="preserve">高级工程师职称</w:t>
            </w:r>
            <w:r>
              <w:rPr>
                <w:rFonts w:hint="eastAsia" w:ascii="宋体" w:hAnsi="宋体"/>
                <w:szCs w:val="21"/>
                <w:lang w:val="en-US" w:eastAsia="zh-CN"/>
              </w:rPr>
              <w:t xml:space="preserve">和</w:t>
            </w:r>
            <w:r>
              <w:rPr>
                <w:rFonts w:hint="eastAsia" w:ascii="宋体" w:hAnsi="宋体"/>
                <w:szCs w:val="21"/>
                <w:lang w:val="zh-CN"/>
              </w:rPr>
              <w:t xml:space="preserve">注册测绘师证书的得</w:t>
            </w:r>
            <w:r>
              <w:rPr>
                <w:rFonts w:hint="eastAsia" w:ascii="宋体" w:hAnsi="宋体"/>
                <w:szCs w:val="21"/>
                <w:lang w:val="en-US" w:eastAsia="zh-CN"/>
              </w:rPr>
              <w:t xml:space="preserve">2</w:t>
            </w:r>
            <w:r>
              <w:rPr>
                <w:rFonts w:hint="eastAsia" w:ascii="宋体" w:hAnsi="宋体"/>
                <w:szCs w:val="21"/>
                <w:lang w:val="zh-CN"/>
              </w:rPr>
              <w:t xml:space="preserve">分，其余情况不得分。</w:t>
            </w:r>
            <w:r/>
          </w:p>
          <w:p>
            <w:pPr>
              <w:ind w:left="0" w:right="0" w:firstLine="388"/>
              <w:jc w:val="both"/>
              <w:keepLines/>
              <w:keepNext/>
              <w:pageBreakBefore w:val="0"/>
              <w:spacing w:line="240" w:lineRule="auto"/>
              <w:widowControl w:val="off"/>
              <w:rPr>
                <w:rFonts w:hint="eastAsia" w:ascii="宋体" w:hAnsi="宋体"/>
                <w:szCs w:val="21"/>
                <w:lang w:val="zh-CN"/>
              </w:rPr>
            </w:pPr>
            <w:r>
              <w:rPr>
                <w:rFonts w:hint="eastAsia" w:ascii="宋体" w:hAnsi="宋体"/>
                <w:szCs w:val="21"/>
                <w:lang w:val="zh-CN"/>
              </w:rPr>
              <w:t xml:space="preserve">（2）技术负责人：同时具备</w:t>
            </w:r>
            <w:r>
              <w:rPr>
                <w:rFonts w:hint="eastAsia" w:ascii="宋体" w:hAnsi="宋体"/>
                <w:szCs w:val="21"/>
                <w:lang w:val="en-US" w:eastAsia="zh-CN"/>
              </w:rPr>
              <w:t xml:space="preserve">测绘类</w:t>
            </w:r>
            <w:r>
              <w:rPr>
                <w:rFonts w:hint="eastAsia" w:ascii="宋体" w:hAnsi="宋体"/>
                <w:szCs w:val="21"/>
                <w:lang w:val="zh-CN"/>
              </w:rPr>
              <w:t xml:space="preserve">正高级工程师职称</w:t>
            </w:r>
            <w:r>
              <w:rPr>
                <w:rFonts w:hint="eastAsia" w:ascii="宋体" w:hAnsi="宋体"/>
                <w:szCs w:val="21"/>
                <w:lang w:val="en-US" w:eastAsia="zh-CN"/>
              </w:rPr>
              <w:t xml:space="preserve">和</w:t>
            </w:r>
            <w:r>
              <w:rPr>
                <w:rFonts w:hint="eastAsia" w:ascii="宋体" w:hAnsi="宋体"/>
                <w:szCs w:val="21"/>
                <w:lang w:val="zh-CN"/>
              </w:rPr>
              <w:t xml:space="preserve">注册测绘师证书的得5分，</w:t>
            </w:r>
            <w:r>
              <w:rPr>
                <w:rFonts w:hint="eastAsia" w:ascii="宋体" w:hAnsi="宋体"/>
                <w:szCs w:val="21"/>
                <w:lang w:val="en-US" w:eastAsia="zh-CN"/>
              </w:rPr>
              <w:t xml:space="preserve">同时具备测绘类</w:t>
            </w:r>
            <w:r>
              <w:rPr>
                <w:rFonts w:hint="eastAsia" w:ascii="宋体" w:hAnsi="宋体"/>
                <w:szCs w:val="21"/>
                <w:lang w:val="zh-CN"/>
              </w:rPr>
              <w:t xml:space="preserve">高级工程师职称</w:t>
            </w:r>
            <w:r>
              <w:rPr>
                <w:rFonts w:hint="eastAsia" w:ascii="宋体" w:hAnsi="宋体"/>
                <w:szCs w:val="21"/>
                <w:lang w:val="en-US" w:eastAsia="zh-CN"/>
              </w:rPr>
              <w:t xml:space="preserve">和</w:t>
            </w:r>
            <w:r>
              <w:rPr>
                <w:rFonts w:hint="eastAsia" w:ascii="宋体" w:hAnsi="宋体"/>
                <w:szCs w:val="21"/>
                <w:lang w:val="zh-CN"/>
              </w:rPr>
              <w:t xml:space="preserve">注册测绘师证书的得</w:t>
            </w:r>
            <w:r>
              <w:rPr>
                <w:rFonts w:hint="eastAsia" w:ascii="宋体" w:hAnsi="宋体"/>
                <w:szCs w:val="21"/>
                <w:lang w:val="en-US" w:eastAsia="zh-CN"/>
              </w:rPr>
              <w:t xml:space="preserve">2</w:t>
            </w:r>
            <w:r>
              <w:rPr>
                <w:rFonts w:hint="eastAsia" w:ascii="宋体" w:hAnsi="宋体"/>
                <w:szCs w:val="21"/>
                <w:lang w:val="zh-CN"/>
              </w:rPr>
              <w:t xml:space="preserve">分，其余情况不得分。</w:t>
            </w:r>
            <w:r/>
          </w:p>
          <w:p>
            <w:pPr>
              <w:ind w:left="0" w:right="0" w:firstLine="388"/>
              <w:jc w:val="both"/>
              <w:keepLines/>
              <w:keepNext/>
              <w:pageBreakBefore w:val="0"/>
              <w:spacing w:line="240" w:lineRule="auto"/>
              <w:widowControl w:val="off"/>
              <w:rPr>
                <w:rFonts w:hint="eastAsia" w:ascii="宋体" w:hAnsi="宋体"/>
                <w:szCs w:val="21"/>
                <w:lang w:val="zh-CN"/>
              </w:rPr>
            </w:pPr>
            <w:r>
              <w:rPr>
                <w:rFonts w:hint="eastAsia" w:ascii="宋体" w:hAnsi="宋体"/>
                <w:szCs w:val="21"/>
                <w:lang w:val="zh-CN"/>
              </w:rPr>
              <w:t xml:space="preserve">（3）质量负责人：同时具备</w:t>
            </w:r>
            <w:r>
              <w:rPr>
                <w:rFonts w:hint="eastAsia" w:ascii="宋体" w:hAnsi="宋体"/>
                <w:szCs w:val="21"/>
                <w:lang w:val="en-US" w:eastAsia="zh-CN"/>
              </w:rPr>
              <w:t xml:space="preserve">测绘类</w:t>
            </w:r>
            <w:r>
              <w:rPr>
                <w:rFonts w:hint="eastAsia" w:ascii="宋体" w:hAnsi="宋体"/>
                <w:szCs w:val="21"/>
                <w:lang w:val="zh-CN"/>
              </w:rPr>
              <w:t xml:space="preserve">正高级工程师职称和注册测绘师证书的得</w:t>
            </w:r>
            <w:r>
              <w:rPr>
                <w:rFonts w:hint="eastAsia" w:ascii="宋体" w:hAnsi="宋体"/>
                <w:szCs w:val="21"/>
                <w:lang w:val="en-US" w:eastAsia="zh-CN"/>
              </w:rPr>
              <w:t xml:space="preserve">5</w:t>
            </w:r>
            <w:r>
              <w:rPr>
                <w:rFonts w:hint="eastAsia" w:ascii="宋体" w:hAnsi="宋体"/>
                <w:szCs w:val="21"/>
                <w:lang w:val="zh-CN"/>
              </w:rPr>
              <w:t xml:space="preserve">分，</w:t>
            </w:r>
            <w:r>
              <w:rPr>
                <w:rFonts w:hint="eastAsia" w:ascii="宋体" w:hAnsi="宋体"/>
                <w:szCs w:val="21"/>
                <w:lang w:val="en-US" w:eastAsia="zh-CN"/>
              </w:rPr>
              <w:t xml:space="preserve">同时具备测绘类</w:t>
            </w:r>
            <w:r>
              <w:rPr>
                <w:rFonts w:hint="eastAsia" w:ascii="宋体" w:hAnsi="宋体"/>
                <w:szCs w:val="21"/>
                <w:lang w:val="zh-CN"/>
              </w:rPr>
              <w:t xml:space="preserve">高级工程师职称</w:t>
            </w:r>
            <w:r>
              <w:rPr>
                <w:rFonts w:hint="eastAsia" w:ascii="宋体" w:hAnsi="宋体"/>
                <w:szCs w:val="21"/>
                <w:lang w:val="en-US" w:eastAsia="zh-CN"/>
              </w:rPr>
              <w:t xml:space="preserve">和</w:t>
            </w:r>
            <w:r>
              <w:rPr>
                <w:rFonts w:hint="eastAsia" w:ascii="宋体" w:hAnsi="宋体"/>
                <w:szCs w:val="21"/>
                <w:lang w:val="zh-CN"/>
              </w:rPr>
              <w:t xml:space="preserve">注册测绘师证书的得</w:t>
            </w:r>
            <w:r>
              <w:rPr>
                <w:rFonts w:hint="eastAsia" w:ascii="宋体" w:hAnsi="宋体"/>
                <w:szCs w:val="21"/>
                <w:lang w:val="en-US" w:eastAsia="zh-CN"/>
              </w:rPr>
              <w:t xml:space="preserve">2</w:t>
            </w:r>
            <w:r>
              <w:rPr>
                <w:rFonts w:hint="eastAsia" w:ascii="宋体" w:hAnsi="宋体"/>
                <w:szCs w:val="21"/>
                <w:lang w:val="zh-CN"/>
              </w:rPr>
              <w:t xml:space="preserve">分，其余情况不得分。</w:t>
            </w:r>
            <w:r/>
          </w:p>
          <w:p>
            <w:pPr>
              <w:ind w:left="0" w:right="0" w:firstLine="388"/>
              <w:jc w:val="both"/>
              <w:keepLines/>
              <w:keepNext/>
              <w:pageBreakBefore w:val="0"/>
              <w:spacing w:line="240" w:lineRule="auto"/>
              <w:widowControl w:val="off"/>
              <w:rPr>
                <w:rFonts w:hint="eastAsia" w:ascii="宋体" w:hAnsi="宋体"/>
                <w:szCs w:val="21"/>
                <w:lang w:val="zh-CN"/>
              </w:rPr>
            </w:pPr>
            <w:r>
              <w:rPr>
                <w:rFonts w:hint="eastAsia" w:ascii="宋体" w:hAnsi="宋体"/>
                <w:szCs w:val="21"/>
                <w:lang w:val="zh-CN"/>
              </w:rPr>
              <w:t xml:space="preserve">（4）项目组成员：</w:t>
            </w:r>
            <w:r/>
          </w:p>
          <w:p>
            <w:pPr>
              <w:ind w:left="0" w:right="0" w:firstLine="388"/>
              <w:jc w:val="both"/>
              <w:keepLines/>
              <w:keepNext/>
              <w:pageBreakBefore w:val="0"/>
              <w:spacing w:line="240" w:lineRule="auto"/>
              <w:widowControl w:val="off"/>
              <w:rPr>
                <w:rFonts w:hint="eastAsia" w:ascii="宋体" w:hAnsi="宋体"/>
                <w:szCs w:val="21"/>
                <w:lang w:val="en-US" w:eastAsia="zh-CN"/>
              </w:rPr>
            </w:pPr>
            <w:r>
              <w:rPr>
                <w:rFonts w:hint="eastAsia" w:ascii="宋体" w:hAnsi="宋体"/>
                <w:szCs w:val="21"/>
                <w:lang w:val="zh-CN"/>
              </w:rPr>
              <w:t xml:space="preserve">拟投入本项目的</w:t>
            </w:r>
            <w:r>
              <w:rPr>
                <w:rFonts w:hint="eastAsia" w:ascii="宋体" w:hAnsi="宋体"/>
                <w:szCs w:val="21"/>
                <w:lang w:val="en-US" w:eastAsia="zh-CN"/>
              </w:rPr>
              <w:t xml:space="preserve">其他人员同时具有测绘类高级工程师职称和</w:t>
            </w:r>
            <w:r>
              <w:rPr>
                <w:rFonts w:hint="eastAsia" w:ascii="宋体" w:hAnsi="宋体"/>
                <w:szCs w:val="21"/>
                <w:lang w:val="zh-CN"/>
              </w:rPr>
              <w:t xml:space="preserve">注册测绘师证书</w:t>
            </w:r>
            <w:r>
              <w:rPr>
                <w:rFonts w:hint="eastAsia" w:ascii="宋体" w:hAnsi="宋体"/>
                <w:szCs w:val="21"/>
                <w:lang w:val="en-US" w:eastAsia="zh-CN"/>
              </w:rPr>
              <w:t xml:space="preserve">，有一个得2分，最多得6分；</w:t>
            </w:r>
            <w:r/>
          </w:p>
          <w:p>
            <w:pPr>
              <w:ind w:left="0" w:right="0" w:firstLine="388"/>
              <w:jc w:val="both"/>
              <w:keepLines/>
              <w:keepNext/>
              <w:pageBreakBefore w:val="0"/>
              <w:spacing w:line="240" w:lineRule="auto"/>
              <w:widowControl w:val="off"/>
              <w:rPr>
                <w:rFonts w:hint="eastAsia" w:ascii="宋体" w:hAnsi="宋体"/>
                <w:szCs w:val="21"/>
                <w:lang w:val="en-US" w:eastAsia="zh-CN"/>
              </w:rPr>
            </w:pPr>
            <w:r>
              <w:rPr>
                <w:rFonts w:hint="eastAsia" w:ascii="宋体" w:hAnsi="宋体"/>
                <w:szCs w:val="21"/>
                <w:lang w:val="zh-CN"/>
              </w:rPr>
              <w:t xml:space="preserve">拟投入本项目的</w:t>
            </w:r>
            <w:r>
              <w:rPr>
                <w:rFonts w:hint="eastAsia" w:ascii="宋体" w:hAnsi="宋体"/>
                <w:szCs w:val="21"/>
                <w:lang w:val="en-US" w:eastAsia="zh-CN"/>
              </w:rPr>
              <w:t xml:space="preserve">其他人员具有测绘类</w:t>
            </w:r>
            <w:r>
              <w:rPr>
                <w:rFonts w:hint="eastAsia" w:ascii="宋体" w:hAnsi="宋体"/>
                <w:szCs w:val="21"/>
                <w:lang w:val="zh-CN"/>
              </w:rPr>
              <w:t xml:space="preserve">高级</w:t>
            </w:r>
            <w:r>
              <w:rPr>
                <w:rFonts w:hint="eastAsia" w:ascii="宋体" w:hAnsi="宋体"/>
                <w:szCs w:val="21"/>
                <w:lang w:val="en-US" w:eastAsia="zh-CN"/>
              </w:rPr>
              <w:t xml:space="preserve">（含）</w:t>
            </w:r>
            <w:r>
              <w:rPr>
                <w:rFonts w:hint="eastAsia" w:ascii="宋体" w:hAnsi="宋体"/>
                <w:szCs w:val="21"/>
                <w:lang w:val="zh-CN"/>
              </w:rPr>
              <w:t xml:space="preserve">工程师</w:t>
            </w:r>
            <w:r>
              <w:rPr>
                <w:rFonts w:hint="eastAsia" w:ascii="宋体" w:hAnsi="宋体"/>
                <w:szCs w:val="21"/>
                <w:lang w:val="en-US" w:eastAsia="zh-CN"/>
              </w:rPr>
              <w:t xml:space="preserve">以上</w:t>
            </w:r>
            <w:r>
              <w:rPr>
                <w:rFonts w:hint="eastAsia" w:ascii="宋体" w:hAnsi="宋体"/>
                <w:szCs w:val="21"/>
                <w:lang w:val="zh-CN"/>
              </w:rPr>
              <w:t xml:space="preserve">职称证书的，</w:t>
            </w:r>
            <w:r>
              <w:rPr>
                <w:rFonts w:hint="eastAsia" w:ascii="宋体" w:hAnsi="宋体"/>
                <w:szCs w:val="21"/>
                <w:lang w:val="en-US" w:eastAsia="zh-CN"/>
              </w:rPr>
              <w:t xml:space="preserve">有1个</w:t>
            </w:r>
            <w:r>
              <w:rPr>
                <w:rFonts w:hint="eastAsia" w:ascii="宋体" w:hAnsi="宋体"/>
                <w:szCs w:val="21"/>
                <w:lang w:val="zh-CN"/>
              </w:rPr>
              <w:t xml:space="preserve">得</w:t>
            </w:r>
            <w:r>
              <w:rPr>
                <w:rFonts w:hint="eastAsia" w:ascii="宋体" w:hAnsi="宋体"/>
                <w:szCs w:val="21"/>
                <w:lang w:val="en-US" w:eastAsia="zh-CN"/>
              </w:rPr>
              <w:t xml:space="preserve">0.5</w:t>
            </w:r>
            <w:r>
              <w:rPr>
                <w:rFonts w:hint="eastAsia" w:ascii="宋体" w:hAnsi="宋体"/>
                <w:szCs w:val="21"/>
                <w:lang w:val="zh-CN"/>
              </w:rPr>
              <w:t xml:space="preserve">分，</w:t>
            </w:r>
            <w:r>
              <w:rPr>
                <w:rFonts w:hint="eastAsia" w:ascii="宋体" w:hAnsi="宋体"/>
                <w:szCs w:val="21"/>
                <w:lang w:val="en-US" w:eastAsia="zh-CN"/>
              </w:rPr>
              <w:t xml:space="preserve">最多得5分；</w:t>
            </w:r>
            <w:r/>
          </w:p>
          <w:p>
            <w:pPr>
              <w:ind w:firstLine="210"/>
              <w:pageBreakBefore w:val="0"/>
              <w:widowControl w:val="off"/>
              <w:rPr>
                <w:rFonts w:hint="eastAsia" w:ascii="宋体" w:hAnsi="宋体" w:eastAsia="宋体" w:cs="宋体"/>
                <w:spacing w:val="-4"/>
                <w:szCs w:val="21"/>
              </w:rPr>
            </w:pPr>
            <w:r>
              <w:rPr>
                <w:rFonts w:hint="eastAsia" w:ascii="宋体" w:hAnsi="宋体"/>
                <w:szCs w:val="21"/>
                <w:lang w:val="zh-CN"/>
              </w:rPr>
              <w:t xml:space="preserve">注：以上项目负责人、技术负责人、质量负责人和项目组成员不可重复计</w:t>
            </w:r>
            <w:r>
              <w:rPr>
                <w:rFonts w:hint="eastAsia" w:ascii="宋体" w:hAnsi="宋体"/>
                <w:szCs w:val="21"/>
                <w:lang w:val="en-US" w:eastAsia="zh-CN"/>
              </w:rPr>
              <w:t xml:space="preserve">分</w:t>
            </w:r>
            <w:r>
              <w:rPr>
                <w:rFonts w:hint="eastAsia" w:ascii="宋体" w:hAnsi="宋体"/>
                <w:szCs w:val="21"/>
                <w:lang w:val="zh-CN"/>
              </w:rPr>
              <w:t xml:space="preserve">，提供以上人员相关证书及单位为其缴纳的近三个月任意一个月社保证明原件扫描上传。</w:t>
            </w:r>
            <w:r/>
          </w:p>
        </w:tc>
      </w:tr>
    </w:tbl>
    <w:p>
      <w:pPr>
        <w:jc w:val="center"/>
        <w:keepNext/>
        <w:rPr>
          <w:rFonts w:ascii="黑体" w:hAnsi="Times New Roman" w:eastAsia="黑体"/>
          <w:bCs/>
          <w:sz w:val="44"/>
          <w:szCs w:val="28"/>
        </w:rPr>
        <w:outlineLvl w:val="0"/>
      </w:pPr>
      <w:r>
        <w:rPr>
          <w:rFonts w:ascii="黑体" w:hAnsi="Times New Roman" w:eastAsia="黑体"/>
          <w:bCs/>
          <w:sz w:val="44"/>
          <w:szCs w:val="28"/>
        </w:rPr>
      </w:r>
      <w:r/>
    </w:p>
    <w:p>
      <w:pPr>
        <w:pStyle w:val="834"/>
        <w:rPr>
          <w:rFonts w:ascii="黑体" w:hAnsi="Times New Roman" w:eastAsia="黑体"/>
          <w:bCs/>
          <w:sz w:val="44"/>
          <w:szCs w:val="28"/>
        </w:rPr>
      </w:pPr>
      <w:r>
        <w:rPr>
          <w:rFonts w:ascii="黑体" w:hAnsi="Times New Roman" w:eastAsia="黑体"/>
          <w:bCs/>
          <w:sz w:val="44"/>
          <w:szCs w:val="28"/>
        </w:rPr>
      </w:r>
      <w:r/>
    </w:p>
    <w:p>
      <w:pPr>
        <w:rPr>
          <w:rFonts w:ascii="黑体" w:hAnsi="Times New Roman" w:eastAsia="黑体"/>
          <w:bCs/>
          <w:sz w:val="44"/>
          <w:szCs w:val="28"/>
        </w:rPr>
      </w:pPr>
      <w:r>
        <w:rPr>
          <w:rFonts w:ascii="黑体" w:hAnsi="Times New Roman" w:eastAsia="黑体"/>
          <w:bCs/>
          <w:sz w:val="44"/>
          <w:szCs w:val="28"/>
        </w:rPr>
      </w:r>
      <w:r/>
    </w:p>
    <w:p>
      <w:pPr>
        <w:pStyle w:val="834"/>
        <w:rPr>
          <w:rFonts w:ascii="黑体" w:hAnsi="Times New Roman" w:eastAsia="黑体"/>
          <w:bCs/>
          <w:sz w:val="44"/>
          <w:szCs w:val="28"/>
        </w:rPr>
      </w:pPr>
      <w:r>
        <w:rPr>
          <w:rFonts w:ascii="黑体" w:hAnsi="Times New Roman" w:eastAsia="黑体"/>
          <w:bCs/>
          <w:sz w:val="44"/>
          <w:szCs w:val="28"/>
        </w:rPr>
      </w:r>
      <w:r/>
    </w:p>
    <w:p>
      <w:pPr>
        <w:rPr>
          <w:rFonts w:ascii="黑体" w:hAnsi="Times New Roman" w:eastAsia="黑体"/>
          <w:bCs/>
          <w:sz w:val="44"/>
          <w:szCs w:val="28"/>
        </w:rPr>
      </w:pPr>
      <w:r>
        <w:rPr>
          <w:rFonts w:ascii="黑体" w:hAnsi="Times New Roman" w:eastAsia="黑体"/>
          <w:bCs/>
          <w:sz w:val="44"/>
          <w:szCs w:val="28"/>
        </w:rPr>
      </w:r>
      <w:r/>
    </w:p>
    <w:p>
      <w:pPr>
        <w:pStyle w:val="834"/>
        <w:rPr>
          <w:rFonts w:ascii="黑体" w:hAnsi="Times New Roman" w:eastAsia="黑体"/>
          <w:bCs/>
          <w:sz w:val="44"/>
          <w:szCs w:val="28"/>
        </w:rPr>
      </w:pPr>
      <w:r>
        <w:rPr>
          <w:rFonts w:ascii="黑体" w:hAnsi="Times New Roman" w:eastAsia="黑体"/>
          <w:bCs/>
          <w:sz w:val="44"/>
          <w:szCs w:val="28"/>
        </w:rPr>
      </w:r>
      <w:r/>
    </w:p>
    <w:p>
      <w:pPr>
        <w:rPr>
          <w:rFonts w:ascii="黑体" w:hAnsi="Times New Roman" w:eastAsia="黑体"/>
          <w:bCs/>
          <w:sz w:val="44"/>
          <w:szCs w:val="28"/>
        </w:rPr>
      </w:pPr>
      <w:r>
        <w:rPr>
          <w:rFonts w:ascii="黑体" w:hAnsi="Times New Roman" w:eastAsia="黑体"/>
          <w:bCs/>
          <w:sz w:val="44"/>
          <w:szCs w:val="28"/>
        </w:rPr>
      </w:r>
      <w:r/>
    </w:p>
    <w:p>
      <w:pPr>
        <w:pStyle w:val="834"/>
      </w:p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第六章  </w:t>
      </w:r>
      <w:bookmarkEnd w:id="176"/>
      <w:r/>
      <w:bookmarkEnd w:id="177"/>
      <w:r/>
      <w:bookmarkEnd w:id="178"/>
      <w:r>
        <w:rPr>
          <w:rFonts w:hint="eastAsia" w:ascii="黑体" w:hAnsi="Times New Roman" w:eastAsia="黑体"/>
          <w:sz w:val="44"/>
          <w:szCs w:val="44"/>
        </w:rPr>
        <w:t xml:space="preserve">响应文件格式 </w:t>
      </w:r>
      <w:r/>
    </w:p>
    <w:p>
      <w:pPr>
        <w:jc w:val="center"/>
        <w:rPr>
          <w:rFonts w:ascii="宋体" w:hAnsi="宋体"/>
          <w:b/>
          <w:sz w:val="72"/>
          <w:szCs w:val="21"/>
        </w:rPr>
      </w:pPr>
      <w:r/>
      <w:bookmarkStart w:id="226" w:name="_Hlt26955039"/>
      <w:r/>
      <w:bookmarkEnd w:id="226"/>
      <w:r/>
      <w:bookmarkStart w:id="227" w:name="_Hlt26671244"/>
      <w:r/>
      <w:bookmarkEnd w:id="227"/>
      <w:r/>
      <w:bookmarkStart w:id="228" w:name="_Toc26554094"/>
      <w:r/>
      <w:bookmarkStart w:id="229" w:name="_Toc120614282"/>
      <w:r/>
      <w:bookmarkStart w:id="230" w:name="_Toc49090576"/>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964"/>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pStyle w:val="909"/>
        <w:numPr>
          <w:ilvl w:val="0"/>
          <w:numId w:val="6"/>
        </w:numPr>
        <w:spacing w:line="400" w:lineRule="exact"/>
        <w:rPr>
          <w:rFonts w:ascii="宋体" w:hAnsi="宋体"/>
          <w:b/>
          <w:szCs w:val="21"/>
        </w:rPr>
      </w:pPr>
      <w:r>
        <w:rPr>
          <w:rFonts w:hint="eastAsia" w:ascii="宋体" w:hAnsi="宋体"/>
          <w:b/>
          <w:szCs w:val="21"/>
        </w:rPr>
        <w:t xml:space="preserve">基本目录</w:t>
      </w:r>
      <w:r/>
    </w:p>
    <w:p>
      <w:pPr>
        <w:ind w:left="480"/>
        <w:spacing w:line="400" w:lineRule="exact"/>
        <w:rPr>
          <w:rFonts w:ascii="宋体" w:hAnsi="宋体"/>
          <w:sz w:val="24"/>
          <w:szCs w:val="21"/>
        </w:rPr>
      </w:pPr>
      <w:r>
        <w:rPr>
          <w:rFonts w:hint="eastAsia" w:ascii="宋体" w:hAnsi="宋体"/>
          <w:sz w:val="24"/>
          <w:szCs w:val="21"/>
        </w:rPr>
        <w:t xml:space="preserve">1.磋商报价表（格式见标书制作模版）</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.分项报价表（格式见附件1）</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.技术要求响应及偏离表（格式见附件2）</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.商务要求响应及偏离表（格式见附件3）</w:t>
      </w:r>
      <w:r/>
    </w:p>
    <w:p>
      <w:pPr>
        <w:ind w:left="480"/>
        <w:spacing w:line="400" w:lineRule="exact"/>
        <w:rPr>
          <w:rFonts w:ascii="宋体" w:hAnsi="宋体"/>
          <w:sz w:val="24"/>
        </w:rPr>
      </w:pPr>
      <w:r>
        <w:rPr>
          <w:rFonts w:ascii="宋体" w:hAnsi="宋体"/>
          <w:sz w:val="24"/>
          <w:szCs w:val="21"/>
        </w:rPr>
        <w:t xml:space="preserve">5</w:t>
      </w:r>
      <w:r>
        <w:rPr>
          <w:rFonts w:hint="eastAsia" w:ascii="宋体" w:hAnsi="宋体"/>
          <w:sz w:val="24"/>
          <w:szCs w:val="21"/>
        </w:rPr>
        <w:t xml:space="preserve">.法人授权书（格式见附件</w:t>
      </w:r>
      <w:r>
        <w:rPr>
          <w:rFonts w:ascii="宋体" w:hAnsi="宋体"/>
          <w:sz w:val="24"/>
          <w:szCs w:val="21"/>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w:t>
      </w:r>
      <w:r>
        <w:rPr>
          <w:rFonts w:hint="eastAsia" w:ascii="宋体" w:hAnsi="宋体"/>
          <w:sz w:val="24"/>
          <w:szCs w:val="21"/>
        </w:rPr>
        <w:t xml:space="preserve">.磋商响应函（格式见附件</w:t>
      </w:r>
      <w:r>
        <w:rPr>
          <w:rFonts w:ascii="宋体" w:hAnsi="宋体"/>
          <w:sz w:val="24"/>
          <w:szCs w:val="21"/>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7</w:t>
      </w:r>
      <w:r>
        <w:rPr>
          <w:rFonts w:hint="eastAsia" w:ascii="宋体" w:hAnsi="宋体"/>
          <w:sz w:val="24"/>
          <w:szCs w:val="21"/>
        </w:rPr>
        <w:t xml:space="preserve">.主要标的信息（格式见附件</w:t>
      </w:r>
      <w:r>
        <w:rPr>
          <w:rFonts w:ascii="宋体" w:hAnsi="宋体"/>
          <w:sz w:val="24"/>
          <w:szCs w:val="21"/>
        </w:rPr>
        <w:t xml:space="preserve">6</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8</w:t>
      </w:r>
      <w:r>
        <w:rPr>
          <w:rFonts w:hint="eastAsia" w:ascii="宋体" w:hAnsi="宋体"/>
          <w:sz w:val="24"/>
          <w:szCs w:val="21"/>
        </w:rPr>
        <w:t xml:space="preserve">.其他</w:t>
      </w:r>
      <w:r/>
    </w:p>
    <w:p>
      <w:pPr>
        <w:pStyle w:val="875"/>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2024年度</w:t>
      </w:r>
      <w:r>
        <w:rPr>
          <w:rFonts w:hint="eastAsia" w:ascii="宋体" w:hAnsi="宋体"/>
          <w:sz w:val="24"/>
          <w:szCs w:val="21"/>
        </w:rPr>
        <w:t xml:space="preserve">或2025</w:t>
      </w:r>
      <w:r>
        <w:rPr>
          <w:rFonts w:hint="eastAsia" w:ascii="宋体" w:hAnsi="宋体"/>
          <w:sz w:val="24"/>
          <w:szCs w:val="21"/>
        </w:rPr>
        <w:t xml:space="preserve">年度</w:t>
      </w:r>
      <w:r>
        <w:rPr>
          <w:rFonts w:hint="eastAsia" w:ascii="宋体" w:hAnsi="宋体"/>
          <w:sz w:val="24"/>
          <w:szCs w:val="21"/>
        </w:rPr>
        <w:t xml:space="preserve">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附件7</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附件8</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rPr>
      </w:pPr>
      <w:r>
        <w:rPr>
          <w:rFonts w:hint="eastAsia" w:ascii="宋体" w:hAnsi="宋体"/>
          <w:sz w:val="24"/>
          <w:szCs w:val="21"/>
        </w:rPr>
        <w:t xml:space="preserve">残疾人福利性单位声明函（格式见附件</w:t>
      </w:r>
      <w:r>
        <w:rPr>
          <w:rFonts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rPr>
      </w:pPr>
      <w:r>
        <w:rPr>
          <w:rFonts w:hint="eastAsia" w:ascii="宋体" w:hAnsi="宋体"/>
          <w:sz w:val="24"/>
          <w:szCs w:val="21"/>
        </w:rPr>
        <w:t xml:space="preserve">监狱企业的证明文件。</w:t>
      </w:r>
      <w:r/>
    </w:p>
    <w:p>
      <w:pPr>
        <w:ind w:firstLine="480"/>
        <w:spacing w:line="400" w:lineRule="exact"/>
        <w:rPr>
          <w:color w:val="ff0000"/>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供应商必须对技术要求和商务要求中加斜体下划线的实质性要求逐条做出响应，并按照磋商文件要求提供证明材料，否则做无效响应处理。（格式见附件</w:t>
      </w:r>
      <w:r>
        <w:rPr>
          <w:rFonts w:ascii="宋体" w:hAnsi="宋体"/>
          <w:sz w:val="24"/>
          <w:szCs w:val="21"/>
        </w:rPr>
        <w:t xml:space="preserve">1</w:t>
      </w:r>
      <w:r>
        <w:rPr>
          <w:rFonts w:hint="eastAsia" w:ascii="宋体" w:hAnsi="宋体"/>
          <w:sz w:val="24"/>
          <w:szCs w:val="21"/>
          <w:lang w:val="en-US" w:eastAsia="zh-CN"/>
        </w:rPr>
        <w:t xml:space="preserve">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1.中小微企业声明函（格式见附件</w:t>
      </w:r>
      <w:r>
        <w:rPr>
          <w:rFonts w:ascii="宋体" w:hAnsi="宋体"/>
          <w:sz w:val="24"/>
          <w:szCs w:val="21"/>
        </w:rPr>
        <w:t xml:space="preserve">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w:t>
      </w:r>
      <w:r>
        <w:rPr>
          <w:rFonts w:ascii="宋体" w:hAnsi="宋体"/>
          <w:sz w:val="24"/>
          <w:szCs w:val="21"/>
        </w:rPr>
        <w:t xml:space="preserve">11</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附件1 分项报价表（服务类项目）</w:t>
      </w:r>
      <w:r/>
    </w:p>
    <w:tbl>
      <w:tblPr>
        <w:tblStyle w:val="84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695"/>
        <w:gridCol w:w="1597"/>
        <w:gridCol w:w="812"/>
        <w:gridCol w:w="1373"/>
        <w:gridCol w:w="1359"/>
      </w:tblGrid>
      <w:tr>
        <w:trPr>
          <w:cantSplit/>
          <w:trHeight w:val="544"/>
        </w:trPr>
        <w:tc>
          <w:tcPr>
            <w:tcBorders>
              <w:top w:val="single" w:color="auto" w:sz="4" w:space="0"/>
              <w:left w:val="single" w:color="auto" w:sz="4" w:space="0"/>
              <w:bottom w:val="single" w:color="auto" w:sz="4" w:space="0"/>
              <w:right w:val="single" w:color="auto" w:sz="4" w:space="0"/>
            </w:tcBorders>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769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18"/>
                <w:szCs w:val="18"/>
              </w:rPr>
            </w:pPr>
            <w:r>
              <w:rPr>
                <w:rFonts w:hint="eastAsia" w:ascii="宋体" w:hAnsi="宋体"/>
                <w:sz w:val="18"/>
                <w:szCs w:val="18"/>
              </w:rPr>
              <w:t xml:space="preserve">合同签</w:t>
            </w:r>
            <w:r/>
          </w:p>
          <w:p>
            <w:pPr>
              <w:jc w:val="center"/>
              <w:spacing w:line="0" w:lineRule="atLeast"/>
              <w:rPr>
                <w:rFonts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76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总报价（人民币：元）</w:t>
            </w:r>
            <w:r/>
          </w:p>
        </w:tc>
        <w:tc>
          <w:tcPr>
            <w:tcBorders>
              <w:top w:val="single" w:color="auto" w:sz="4" w:space="0"/>
              <w:left w:val="single" w:color="auto" w:sz="4" w:space="0"/>
              <w:bottom w:val="single" w:color="auto" w:sz="4" w:space="0"/>
              <w:right w:val="single" w:color="auto" w:sz="4" w:space="0"/>
            </w:tcBorders>
            <w:tcW w:w="1358" w:type="dxa"/>
            <w:vAlign w:val="top"/>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 </w:t>
      </w:r>
      <w:r/>
    </w:p>
    <w:p>
      <w:pPr>
        <w:spacing w:line="0" w:lineRule="atLeast"/>
        <w:rPr>
          <w:rFonts w:ascii="宋体" w:hAnsi="宋体"/>
          <w:sz w:val="24"/>
          <w:szCs w:val="24"/>
        </w:rPr>
      </w:pPr>
      <w:r>
        <w:rPr>
          <w:rFonts w:hint="eastAsia" w:ascii="宋体" w:hAnsi="宋体"/>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0" w:lineRule="atLeast"/>
        <w:rPr>
          <w:rFonts w:ascii="宋体" w:hAnsi="宋体"/>
          <w:sz w:val="24"/>
          <w:szCs w:val="24"/>
        </w:rPr>
      </w:pPr>
      <w:r>
        <w:rPr>
          <w:rFonts w:ascii="宋体" w:hAnsi="宋体"/>
          <w:sz w:val="24"/>
          <w:szCs w:val="24"/>
        </w:rPr>
      </w:r>
      <w:r/>
    </w:p>
    <w:p>
      <w:pPr>
        <w:spacing w:line="400" w:lineRule="exact"/>
        <w:rPr>
          <w:rFonts w:ascii="宋体" w:hAnsi="宋体"/>
          <w:color w:val="ff0000"/>
          <w:sz w:val="24"/>
          <w:szCs w:val="24"/>
          <w:highlight w:val="yellow"/>
        </w:rPr>
      </w:pPr>
      <w:r>
        <w:rPr>
          <w:rFonts w:ascii="宋体" w:hAnsi="宋体"/>
          <w:color w:val="ff0000"/>
          <w:sz w:val="24"/>
          <w:szCs w:val="24"/>
          <w:highlight w:val="yellow"/>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附件2 技术要求响应及偏离表（采购包号：**）</w:t>
      </w:r>
      <w:r/>
    </w:p>
    <w:tbl>
      <w:tblPr>
        <w:tblStyle w:val="84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83"/>
        <w:gridCol w:w="283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8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48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附件3 商务要求响应及偏离表（采购包号：**）</w:t>
      </w:r>
      <w:r/>
    </w:p>
    <w:tbl>
      <w:tblPr>
        <w:tblStyle w:val="84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766"/>
        <w:gridCol w:w="255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76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76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                        磋商响应函</w:t>
      </w:r>
      <w:r/>
    </w:p>
    <w:p>
      <w:pPr>
        <w:jc w:val="left"/>
        <w:spacing w:line="420" w:lineRule="exact"/>
        <w:rPr>
          <w:rFonts w:ascii="宋体" w:hAnsi="宋体"/>
          <w:color w:val="000000"/>
          <w:sz w:val="24"/>
        </w:rPr>
      </w:pPr>
      <w:r>
        <w:rPr>
          <w:rFonts w:hint="eastAsia" w:ascii="宋体" w:hAnsi="宋体"/>
          <w:color w:val="000000"/>
          <w:sz w:val="24"/>
          <w:szCs w:val="21"/>
        </w:rPr>
        <w:t xml:space="preserve">致：扬州市公共资源交易中心高邮分中心：</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号磋商文件，正式授权下述签字人_____(姓名)代表我方_______（供应商的名称），全权处理本次项目磋商的有关事宜。</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1.按磋商文件规定的各项要求，向买方提供所需货物（包含与货物相关的服务）。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2.我们完全理解贵方不一定将合同授予最低报价的供应商。</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4.我们同意从规定的磋商日期起遵循本磋商文件，并在规定的磋商有效期期满之前均具有约束力。</w:t>
      </w:r>
      <w:r/>
    </w:p>
    <w:p>
      <w:pPr>
        <w:ind w:firstLine="480"/>
        <w:jc w:val="left"/>
        <w:spacing w:line="420" w:lineRule="exact"/>
        <w:rPr>
          <w:rFonts w:ascii="宋体" w:hAnsi="宋体"/>
          <w:color w:val="000000"/>
          <w:sz w:val="24"/>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供应商开户行：</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日        期：______年____月____日</w:t>
      </w:r>
      <w:r/>
    </w:p>
    <w:p>
      <w:pPr>
        <w:rPr>
          <w:rFonts w:ascii="宋体" w:hAnsi="宋体"/>
          <w:b/>
          <w:color w:val="000000"/>
          <w:sz w:val="24"/>
        </w:rPr>
      </w:pPr>
      <w:r>
        <w:rPr>
          <w:rFonts w:ascii="宋体" w:hAnsi="宋体"/>
          <w:b/>
          <w:color w:val="000000"/>
          <w:sz w:val="24"/>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84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pStyle w:val="87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9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bookmarkEnd w:id="228"/>
      <w:r/>
      <w:bookmarkEnd w:id="229"/>
      <w:r/>
      <w:bookmarkEnd w:id="230"/>
      <w:r/>
      <w:r/>
    </w:p>
    <w:p>
      <w:pPr>
        <w:rPr>
          <w:rFonts w:ascii="宋体" w:hAnsi="宋体"/>
          <w:b/>
          <w:color w:val="000000"/>
          <w:sz w:val="24"/>
          <w:szCs w:val="21"/>
        </w:rPr>
      </w:pPr>
      <w:r/>
      <w:bookmarkStart w:id="231" w:name="_Toc120614284"/>
      <w:r/>
      <w:r/>
    </w:p>
    <w:p>
      <w:pPr>
        <w:keepLines/>
        <w:keepNext/>
        <w:spacing w:before="260" w:after="260" w:line="416" w:lineRule="auto"/>
        <w:rPr>
          <w:rFonts w:hint="eastAsia" w:ascii="宋体" w:hAnsi="宋体"/>
          <w:b/>
          <w:color w:val="000000"/>
          <w:sz w:val="24"/>
          <w:szCs w:val="21"/>
        </w:rPr>
        <w:outlineLvl w:val="1"/>
      </w:pPr>
      <w:r>
        <w:rPr>
          <w:rFonts w:hint="eastAsia"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10</w:t>
      </w:r>
      <w:r>
        <w:rPr>
          <w:rFonts w:hint="eastAsia" w:ascii="宋体" w:hAnsi="宋体"/>
          <w:b/>
          <w:color w:val="000000"/>
          <w:sz w:val="24"/>
          <w:szCs w:val="21"/>
        </w:rPr>
        <w:t xml:space="preserve"> 中小企业声明函（服务类项目）（采购包号：**）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本公司（联合体）郑重声明，根据《政府采购促进中小企业发展管理办法》(财库[2020]46号)的规定，本公司（联合体）参加扬州市公共资源交易中心高邮分中心组织的</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的采购活动，服务全部由符合政策的中小企业承接。相关企业（含联合体中的中小企业、签订采购包意向协议的中小企业）的具体情况如下：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w:t>
      </w:r>
      <w:r>
        <w:rPr>
          <w:rFonts w:hint="eastAsia" w:ascii="宋体" w:hAnsi="宋体" w:eastAsia="宋体" w:cs="宋体"/>
          <w:sz w:val="24"/>
          <w:szCs w:val="24"/>
          <w:u w:val="single"/>
        </w:rPr>
        <w:t xml:space="preserve">高邮市20</w:t>
      </w:r>
      <w:r>
        <w:rPr>
          <w:rFonts w:hint="eastAsia" w:ascii="宋体" w:hAnsi="宋体" w:cs="宋体"/>
          <w:sz w:val="24"/>
          <w:szCs w:val="24"/>
          <w:u w:val="single"/>
          <w:lang w:val="en-US" w:eastAsia="zh-CN"/>
        </w:rPr>
        <w:t xml:space="preserve">25</w:t>
      </w:r>
      <w:r>
        <w:rPr>
          <w:rFonts w:hint="eastAsia" w:ascii="宋体" w:hAnsi="宋体" w:eastAsia="宋体" w:cs="宋体"/>
          <w:sz w:val="24"/>
          <w:szCs w:val="24"/>
          <w:u w:val="single"/>
        </w:rPr>
        <w:t xml:space="preserve">年度国土变更调查及日常国土变更调查工作</w:t>
      </w:r>
      <w:r>
        <w:rPr>
          <w:rFonts w:hint="eastAsia" w:ascii="宋体" w:hAnsi="宋体"/>
          <w:sz w:val="24"/>
          <w:szCs w:val="24"/>
          <w:u w:val="single"/>
        </w:rPr>
        <w:t xml:space="preserve">）</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ff0000"/>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4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1559" w:firstLine="643"/>
        <w:jc w:val="center"/>
        <w:spacing w:line="0" w:lineRule="atLeast"/>
        <w:tabs>
          <w:tab w:val="left" w:pos="4860" w:leader="none"/>
        </w:tabs>
        <w:rPr>
          <w:rFonts w:ascii="宋体" w:hAnsi="宋体"/>
          <w:color w:val="000000"/>
          <w:sz w:val="24"/>
          <w:szCs w:val="21"/>
        </w:rPr>
      </w:pPr>
      <w:r>
        <w:rPr>
          <w:rFonts w:hint="eastAsia" w:ascii="黑体" w:hAnsi="黑体" w:eastAsia="黑体"/>
          <w:b/>
          <w:sz w:val="32"/>
          <w:szCs w:val="32"/>
        </w:rPr>
        <w:br w:type="page" w:clear="all"/>
      </w:r>
      <w:r/>
    </w:p>
    <w:p>
      <w:pPr>
        <w:spacing w:line="560" w:lineRule="exact"/>
        <w:rPr>
          <w:rFonts w:ascii="黑体" w:hAnsi="黑体" w:eastAsia="黑体"/>
          <w:b/>
          <w:sz w:val="32"/>
          <w:szCs w:val="32"/>
        </w:rPr>
      </w:pPr>
      <w:r>
        <w:rPr>
          <w:rFonts w:ascii="黑体" w:hAnsi="黑体" w:eastAsia="黑体"/>
          <w:b/>
          <w:sz w:val="32"/>
          <w:szCs w:val="32"/>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11</w:t>
      </w:r>
      <w:r>
        <w:rPr>
          <w:rFonts w:hint="eastAsia" w:ascii="宋体" w:hAnsi="宋体"/>
          <w:b/>
          <w:color w:val="000000"/>
          <w:sz w:val="24"/>
          <w:szCs w:val="21"/>
        </w:rPr>
        <w:t xml:space="preserve"> 残疾人福利性单位声明函（服务类项目）（采购包号：**）</w:t>
      </w:r>
      <w:r/>
    </w:p>
    <w:p>
      <w:pPr>
        <w:ind w:firstLine="480"/>
        <w:spacing w:line="0" w:lineRule="atLeas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color w:val="000000"/>
          <w:sz w:val="24"/>
          <w:szCs w:val="21"/>
        </w:rPr>
        <w:t xml:space="preserve">_____</w:t>
      </w:r>
      <w:r>
        <w:rPr>
          <w:rFonts w:hint="eastAsia" w:ascii="宋体" w:hAnsi="宋体"/>
          <w:sz w:val="24"/>
          <w:szCs w:val="21"/>
        </w:rPr>
        <w:t xml:space="preserve">项目（采购包号：**）采购活动由本单位提供服务。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ascii="宋体" w:hAnsi="宋体"/>
          <w:sz w:val="24"/>
          <w:szCs w:val="21"/>
        </w:rPr>
      </w:pPr>
      <w:r>
        <w:rPr>
          <w:rFonts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非专门面向中小微型企业采购的项目，供应商如不提供此声明函，价格将不做相应扣除。</w:t>
      </w:r>
      <w:r/>
    </w:p>
    <w:p>
      <w:pPr>
        <w:ind w:firstLine="480"/>
        <w:spacing w:line="0" w:lineRule="atLeast"/>
        <w:rPr>
          <w:rFonts w:ascii="宋体" w:hAnsi="宋体"/>
          <w:sz w:val="24"/>
          <w:szCs w:val="21"/>
        </w:rPr>
      </w:pPr>
      <w:r>
        <w:rPr>
          <w:rFonts w:hint="eastAsia" w:ascii="宋体" w:hAnsi="宋体"/>
          <w:sz w:val="24"/>
          <w:szCs w:val="21"/>
        </w:rPr>
        <w:t xml:space="preserve">3.中标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ind w:firstLine="645"/>
        <w:spacing w:line="560" w:lineRule="exact"/>
        <w:rPr>
          <w:rFonts w:ascii="宋体" w:hAnsi="宋体"/>
          <w:sz w:val="24"/>
          <w:szCs w:val="21"/>
        </w:rPr>
      </w:pPr>
      <w:r>
        <w:rPr>
          <w:rFonts w:ascii="宋体" w:hAnsi="宋体"/>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实质性要求响应及偏离表（采购包号：**）</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w:t>
      </w:r>
      <w:r>
        <w:rPr>
          <w:rFonts w:hint="eastAsia" w:ascii="宋体" w:hAnsi="宋体"/>
          <w:sz w:val="24"/>
          <w:szCs w:val="24"/>
          <w:lang w:val="en-US" w:eastAsia="zh-CN"/>
        </w:rPr>
        <w:t xml:space="preserve">2</w:t>
      </w:r>
      <w:r>
        <w:rPr>
          <w:rFonts w:hint="eastAsia" w:ascii="宋体" w:hAnsi="宋体"/>
          <w:sz w:val="24"/>
          <w:szCs w:val="24"/>
        </w:rPr>
        <w:t xml:space="preserve">-1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bookmarkEnd w:id="174"/>
      <w:r/>
      <w:bookmarkEnd w:id="175"/>
      <w:r/>
      <w:bookmarkEnd w:id="231"/>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3243" cy="20564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213243" cy="205642"/>
                      </a:xfrm>
                      <a:prstGeom prst="rect">
                        <a:avLst/>
                      </a:prstGeom>
                      <a:noFill/>
                      <a:ln w="6350">
                        <a:noFill/>
                      </a:ln>
                      <a:effectLst/>
                    </wps:spPr>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6.2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13"/>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92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839"/>
      <w:isLgl w:val="false"/>
      <w:suff w:val="nothing"/>
      <w:lvlText w:val=""/>
      <w:lvlJc w:val="left"/>
      <w:pPr>
        <w:ind w:left="0" w:firstLine="0"/>
      </w:pPr>
    </w:lvl>
    <w:lvl w:ilvl="6">
      <w:start w:val="1"/>
      <w:numFmt w:val="none"/>
      <w:pStyle w:val="840"/>
      <w:isLgl w:val="false"/>
      <w:suff w:val="nothing"/>
      <w:lvlText w:val=""/>
      <w:lvlJc w:val="left"/>
      <w:pPr>
        <w:ind w:left="0" w:firstLine="0"/>
      </w:pPr>
    </w:lvl>
    <w:lvl w:ilvl="7">
      <w:start w:val="1"/>
      <w:numFmt w:val="none"/>
      <w:pStyle w:val="841"/>
      <w:isLgl w:val="false"/>
      <w:suff w:val="nothing"/>
      <w:lvlText w:val=""/>
      <w:lvlJc w:val="left"/>
      <w:pPr>
        <w:ind w:left="0" w:firstLine="0"/>
      </w:pPr>
    </w:lvl>
    <w:lvl w:ilvl="8">
      <w:start w:val="1"/>
      <w:numFmt w:val="none"/>
      <w:pStyle w:val="842"/>
      <w:isLgl w:val="false"/>
      <w:suff w:val="nothing"/>
      <w:lvlText w:val=""/>
      <w:lvlJc w:val="left"/>
      <w:pPr>
        <w:ind w:left="0" w:firstLine="0"/>
      </w:p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43"/>
    <w:link w:val="834"/>
    <w:uiPriority w:val="9"/>
    <w:rPr>
      <w:rFonts w:ascii="Arial" w:hAnsi="Arial" w:eastAsia="Arial" w:cs="Arial"/>
      <w:sz w:val="40"/>
      <w:szCs w:val="40"/>
    </w:rPr>
  </w:style>
  <w:style w:type="character" w:styleId="681">
    <w:name w:val="Heading 2 Char"/>
    <w:basedOn w:val="843"/>
    <w:link w:val="835"/>
    <w:uiPriority w:val="9"/>
    <w:rPr>
      <w:rFonts w:ascii="Arial" w:hAnsi="Arial" w:eastAsia="Arial" w:cs="Arial"/>
      <w:sz w:val="34"/>
    </w:rPr>
  </w:style>
  <w:style w:type="character" w:styleId="682">
    <w:name w:val="Heading 3 Char"/>
    <w:basedOn w:val="843"/>
    <w:link w:val="836"/>
    <w:uiPriority w:val="9"/>
    <w:rPr>
      <w:rFonts w:ascii="Arial" w:hAnsi="Arial" w:eastAsia="Arial" w:cs="Arial"/>
      <w:sz w:val="30"/>
      <w:szCs w:val="30"/>
    </w:rPr>
  </w:style>
  <w:style w:type="character" w:styleId="683">
    <w:name w:val="Heading 4 Char"/>
    <w:basedOn w:val="843"/>
    <w:link w:val="837"/>
    <w:uiPriority w:val="9"/>
    <w:rPr>
      <w:rFonts w:ascii="Arial" w:hAnsi="Arial" w:eastAsia="Arial" w:cs="Arial"/>
      <w:b/>
      <w:bCs/>
      <w:sz w:val="26"/>
      <w:szCs w:val="26"/>
    </w:rPr>
  </w:style>
  <w:style w:type="character" w:styleId="684">
    <w:name w:val="Heading 5 Char"/>
    <w:basedOn w:val="843"/>
    <w:link w:val="838"/>
    <w:uiPriority w:val="9"/>
    <w:rPr>
      <w:rFonts w:ascii="Arial" w:hAnsi="Arial" w:eastAsia="Arial" w:cs="Arial"/>
      <w:b/>
      <w:bCs/>
      <w:sz w:val="24"/>
      <w:szCs w:val="24"/>
    </w:rPr>
  </w:style>
  <w:style w:type="character" w:styleId="685">
    <w:name w:val="Heading 6 Char"/>
    <w:basedOn w:val="843"/>
    <w:link w:val="839"/>
    <w:uiPriority w:val="9"/>
    <w:rPr>
      <w:rFonts w:ascii="Arial" w:hAnsi="Arial" w:eastAsia="Arial" w:cs="Arial"/>
      <w:b/>
      <w:bCs/>
      <w:sz w:val="22"/>
      <w:szCs w:val="22"/>
    </w:rPr>
  </w:style>
  <w:style w:type="character" w:styleId="686">
    <w:name w:val="Heading 7 Char"/>
    <w:basedOn w:val="843"/>
    <w:link w:val="840"/>
    <w:uiPriority w:val="9"/>
    <w:rPr>
      <w:rFonts w:ascii="Arial" w:hAnsi="Arial" w:eastAsia="Arial" w:cs="Arial"/>
      <w:b/>
      <w:bCs/>
      <w:i/>
      <w:iCs/>
      <w:sz w:val="22"/>
      <w:szCs w:val="22"/>
    </w:rPr>
  </w:style>
  <w:style w:type="character" w:styleId="687">
    <w:name w:val="Heading 8 Char"/>
    <w:basedOn w:val="843"/>
    <w:link w:val="841"/>
    <w:uiPriority w:val="9"/>
    <w:rPr>
      <w:rFonts w:ascii="Arial" w:hAnsi="Arial" w:eastAsia="Arial" w:cs="Arial"/>
      <w:i/>
      <w:iCs/>
      <w:sz w:val="22"/>
      <w:szCs w:val="22"/>
    </w:rPr>
  </w:style>
  <w:style w:type="character" w:styleId="688">
    <w:name w:val="Heading 9 Char"/>
    <w:basedOn w:val="843"/>
    <w:link w:val="842"/>
    <w:uiPriority w:val="9"/>
    <w:rPr>
      <w:rFonts w:ascii="Arial" w:hAnsi="Arial" w:eastAsia="Arial" w:cs="Arial"/>
      <w:i/>
      <w:iCs/>
      <w:sz w:val="21"/>
      <w:szCs w:val="21"/>
    </w:rPr>
  </w:style>
  <w:style w:type="paragraph" w:styleId="689">
    <w:name w:val="Title"/>
    <w:basedOn w:val="833"/>
    <w:next w:val="833"/>
    <w:link w:val="690"/>
    <w:uiPriority w:val="10"/>
    <w:qFormat/>
    <w:pPr>
      <w:contextualSpacing/>
      <w:spacing w:before="300" w:after="200"/>
    </w:pPr>
    <w:rPr>
      <w:sz w:val="48"/>
      <w:szCs w:val="48"/>
    </w:rPr>
  </w:style>
  <w:style w:type="character" w:styleId="690">
    <w:name w:val="Title Char"/>
    <w:basedOn w:val="843"/>
    <w:link w:val="689"/>
    <w:uiPriority w:val="10"/>
    <w:rPr>
      <w:sz w:val="48"/>
      <w:szCs w:val="48"/>
    </w:rPr>
  </w:style>
  <w:style w:type="paragraph" w:styleId="691">
    <w:name w:val="Subtitle"/>
    <w:basedOn w:val="833"/>
    <w:next w:val="833"/>
    <w:link w:val="692"/>
    <w:uiPriority w:val="11"/>
    <w:qFormat/>
    <w:pPr>
      <w:spacing w:before="200" w:after="200"/>
    </w:pPr>
    <w:rPr>
      <w:sz w:val="24"/>
      <w:szCs w:val="24"/>
    </w:rPr>
  </w:style>
  <w:style w:type="character" w:styleId="692">
    <w:name w:val="Subtitle Char"/>
    <w:basedOn w:val="843"/>
    <w:link w:val="691"/>
    <w:uiPriority w:val="11"/>
    <w:rPr>
      <w:sz w:val="24"/>
      <w:szCs w:val="24"/>
    </w:rPr>
  </w:style>
  <w:style w:type="paragraph" w:styleId="693">
    <w:name w:val="Quote"/>
    <w:basedOn w:val="833"/>
    <w:next w:val="833"/>
    <w:link w:val="694"/>
    <w:uiPriority w:val="29"/>
    <w:qFormat/>
    <w:pPr>
      <w:ind w:left="720" w:right="720"/>
    </w:pPr>
    <w:rPr>
      <w:i/>
    </w:rPr>
  </w:style>
  <w:style w:type="character" w:styleId="694">
    <w:name w:val="Quote Char"/>
    <w:link w:val="693"/>
    <w:uiPriority w:val="29"/>
    <w:rPr>
      <w:i/>
    </w:rPr>
  </w:style>
  <w:style w:type="paragraph" w:styleId="695">
    <w:name w:val="Intense Quote"/>
    <w:basedOn w:val="833"/>
    <w:next w:val="833"/>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3"/>
    <w:link w:val="862"/>
    <w:uiPriority w:val="99"/>
  </w:style>
  <w:style w:type="character" w:styleId="698">
    <w:name w:val="Footer Char"/>
    <w:basedOn w:val="843"/>
    <w:link w:val="861"/>
    <w:uiPriority w:val="99"/>
  </w:style>
  <w:style w:type="paragraph" w:styleId="699">
    <w:name w:val="Caption"/>
    <w:basedOn w:val="833"/>
    <w:next w:val="833"/>
    <w:uiPriority w:val="35"/>
    <w:semiHidden/>
    <w:unhideWhenUsed/>
    <w:qFormat/>
    <w:pPr>
      <w:spacing w:line="276" w:lineRule="auto"/>
    </w:pPr>
    <w:rPr>
      <w:b/>
      <w:bCs/>
      <w:color w:val="4f81bd" w:themeColor="accent1"/>
      <w:sz w:val="18"/>
      <w:szCs w:val="18"/>
    </w:rPr>
  </w:style>
  <w:style w:type="character" w:styleId="700">
    <w:name w:val="Caption Char"/>
    <w:basedOn w:val="699"/>
    <w:link w:val="861"/>
    <w:uiPriority w:val="99"/>
  </w:style>
  <w:style w:type="table" w:styleId="701">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3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3"/>
    <w:uiPriority w:val="99"/>
    <w:unhideWhenUsed/>
    <w:rPr>
      <w:vertAlign w:val="superscript"/>
    </w:rPr>
  </w:style>
  <w:style w:type="paragraph" w:styleId="829">
    <w:name w:val="endnote text"/>
    <w:basedOn w:val="83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3"/>
    <w:uiPriority w:val="99"/>
    <w:semiHidden/>
    <w:unhideWhenUsed/>
    <w:rPr>
      <w:vertAlign w:val="superscript"/>
    </w:rPr>
  </w:style>
  <w:style w:type="paragraph" w:styleId="832">
    <w:name w:val="TOC Heading"/>
    <w:uiPriority w:val="39"/>
    <w:unhideWhenUsed/>
  </w:style>
  <w:style w:type="paragraph" w:styleId="833" w:default="1">
    <w:name w:val="Normal"/>
    <w:next w:val="834"/>
    <w:uiPriority w:val="0"/>
    <w:qFormat/>
    <w:pPr>
      <w:jc w:val="both"/>
      <w:widowControl w:val="off"/>
    </w:pPr>
    <w:rPr>
      <w:rFonts w:ascii="Calibri" w:hAnsi="Calibri" w:eastAsia="宋体" w:cs="Times New Roman"/>
      <w:sz w:val="21"/>
      <w:szCs w:val="22"/>
      <w:lang w:val="en-US" w:eastAsia="zh-CN" w:bidi="ar-SA"/>
    </w:rPr>
  </w:style>
  <w:style w:type="paragraph" w:styleId="834">
    <w:name w:val="Heading 1"/>
    <w:basedOn w:val="833"/>
    <w:next w:val="833"/>
    <w:link w:val="881"/>
    <w:uiPriority w:val="0"/>
    <w:qFormat/>
    <w:pPr>
      <w:jc w:val="center"/>
      <w:keepNext/>
      <w:outlineLvl w:val="0"/>
    </w:pPr>
    <w:rPr>
      <w:rFonts w:ascii="楷体_GB2312" w:hAnsi="Times New Roman" w:eastAsia="楷体_GB2312"/>
      <w:sz w:val="28"/>
      <w:szCs w:val="28"/>
    </w:rPr>
  </w:style>
  <w:style w:type="paragraph" w:styleId="835">
    <w:name w:val="Heading 2"/>
    <w:basedOn w:val="833"/>
    <w:next w:val="845"/>
    <w:link w:val="882"/>
    <w:uiPriority w:val="0"/>
    <w:unhideWhenUsed/>
    <w:qFormat/>
    <w:pPr>
      <w:jc w:val="center"/>
      <w:keepLines/>
      <w:keepNext/>
      <w:spacing w:before="260" w:after="260" w:line="415" w:lineRule="auto"/>
      <w:outlineLvl w:val="1"/>
    </w:pPr>
    <w:rPr>
      <w:rFonts w:ascii="Arial" w:hAnsi="Arial" w:eastAsia="幼圆" w:cs="Arial"/>
      <w:b/>
      <w:bCs/>
      <w:sz w:val="44"/>
      <w:szCs w:val="44"/>
    </w:rPr>
  </w:style>
  <w:style w:type="paragraph" w:styleId="836">
    <w:name w:val="Heading 3"/>
    <w:basedOn w:val="833"/>
    <w:next w:val="845"/>
    <w:link w:val="884"/>
    <w:uiPriority w:val="0"/>
    <w:unhideWhenUsed/>
    <w:qFormat/>
    <w:pPr>
      <w:keepLines/>
      <w:keepNext/>
      <w:spacing w:before="260" w:after="260" w:line="415" w:lineRule="auto"/>
      <w:outlineLvl w:val="2"/>
    </w:pPr>
    <w:rPr>
      <w:rFonts w:ascii="Times New Roman" w:hAnsi="Times New Roman"/>
      <w:b/>
      <w:bCs/>
      <w:sz w:val="32"/>
      <w:szCs w:val="32"/>
    </w:rPr>
  </w:style>
  <w:style w:type="paragraph" w:styleId="837">
    <w:name w:val="Heading 4"/>
    <w:basedOn w:val="833"/>
    <w:next w:val="845"/>
    <w:link w:val="885"/>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838">
    <w:name w:val="Heading 5"/>
    <w:basedOn w:val="833"/>
    <w:next w:val="845"/>
    <w:link w:val="886"/>
    <w:uiPriority w:val="0"/>
    <w:unhideWhenUsed/>
    <w:qFormat/>
    <w:pPr>
      <w:keepNext/>
      <w:outlineLvl w:val="4"/>
    </w:pPr>
    <w:rPr>
      <w:rFonts w:ascii="宋体" w:hAnsi="Times New Roman"/>
      <w:color w:val="000000"/>
      <w:sz w:val="28"/>
      <w:szCs w:val="28"/>
    </w:rPr>
  </w:style>
  <w:style w:type="paragraph" w:styleId="839">
    <w:name w:val="Heading 6"/>
    <w:basedOn w:val="833"/>
    <w:next w:val="833"/>
    <w:link w:val="887"/>
    <w:uiPriority w:val="0"/>
    <w:unhideWhenUsed/>
    <w:qFormat/>
    <w:pPr>
      <w:numPr>
        <w:ilvl w:val="5"/>
        <w:numId w:val="1"/>
      </w:numPr>
      <w:keepLines/>
      <w:keepNext/>
      <w:spacing w:before="240" w:after="64" w:line="319" w:lineRule="auto"/>
      <w:outlineLvl w:val="5"/>
    </w:pPr>
    <w:rPr>
      <w:rFonts w:ascii="Arial" w:hAnsi="Arial" w:eastAsia="黑体"/>
      <w:b/>
      <w:bCs/>
      <w:sz w:val="24"/>
      <w:szCs w:val="24"/>
    </w:rPr>
  </w:style>
  <w:style w:type="paragraph" w:styleId="840">
    <w:name w:val="Heading 7"/>
    <w:basedOn w:val="833"/>
    <w:next w:val="833"/>
    <w:link w:val="888"/>
    <w:uiPriority w:val="99"/>
    <w:unhideWhenUsed/>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841">
    <w:name w:val="Heading 8"/>
    <w:basedOn w:val="833"/>
    <w:next w:val="833"/>
    <w:link w:val="889"/>
    <w:uiPriority w:val="99"/>
    <w:unhideWhenUsed/>
    <w:qFormat/>
    <w:pPr>
      <w:numPr>
        <w:ilvl w:val="7"/>
        <w:numId w:val="1"/>
      </w:numPr>
      <w:keepLines/>
      <w:keepNext/>
      <w:spacing w:before="240" w:after="64" w:line="319" w:lineRule="auto"/>
      <w:outlineLvl w:val="7"/>
    </w:pPr>
    <w:rPr>
      <w:rFonts w:ascii="Arial" w:hAnsi="Arial" w:eastAsia="黑体"/>
      <w:sz w:val="24"/>
      <w:szCs w:val="24"/>
    </w:rPr>
  </w:style>
  <w:style w:type="paragraph" w:styleId="842">
    <w:name w:val="Heading 9"/>
    <w:basedOn w:val="833"/>
    <w:next w:val="833"/>
    <w:link w:val="890"/>
    <w:uiPriority w:val="99"/>
    <w:unhideWhenUsed/>
    <w:qFormat/>
    <w:pPr>
      <w:numPr>
        <w:ilvl w:val="8"/>
        <w:numId w:val="1"/>
      </w:numPr>
      <w:keepLines/>
      <w:keepNext/>
      <w:spacing w:before="240" w:after="64" w:line="319" w:lineRule="auto"/>
      <w:outlineLvl w:val="8"/>
    </w:pPr>
    <w:rPr>
      <w:rFonts w:ascii="Arial" w:hAnsi="Arial" w:eastAsia="黑体"/>
      <w:szCs w:val="21"/>
    </w:rPr>
  </w:style>
  <w:style w:type="character" w:styleId="843" w:default="1">
    <w:name w:val="Default Paragraph Font"/>
    <w:uiPriority w:val="1"/>
    <w:unhideWhenUsed/>
    <w:qFormat/>
  </w:style>
  <w:style w:type="table" w:styleId="844" w:default="1">
    <w:name w:val="Normal Table"/>
    <w:uiPriority w:val="99"/>
    <w:unhideWhenUsed/>
    <w:qFormat/>
    <w:tblPr>
      <w:tblCellMar>
        <w:left w:w="108" w:type="dxa"/>
        <w:top w:w="0" w:type="dxa"/>
        <w:right w:w="108" w:type="dxa"/>
        <w:bottom w:w="0" w:type="dxa"/>
      </w:tblCellMar>
    </w:tblPr>
  </w:style>
  <w:style w:type="paragraph" w:styleId="845">
    <w:name w:val="Normal Indent"/>
    <w:basedOn w:val="833"/>
    <w:link w:val="883"/>
    <w:uiPriority w:val="99"/>
    <w:unhideWhenUsed/>
    <w:qFormat/>
    <w:pPr>
      <w:ind w:firstLine="420"/>
    </w:pPr>
    <w:rPr>
      <w:sz w:val="20"/>
      <w:szCs w:val="21"/>
    </w:rPr>
  </w:style>
  <w:style w:type="paragraph" w:styleId="846">
    <w:name w:val="List 3"/>
    <w:basedOn w:val="833"/>
    <w:uiPriority w:val="99"/>
    <w:unhideWhenUsed/>
    <w:qFormat/>
    <w:pPr>
      <w:ind w:left="100" w:hanging="200"/>
    </w:pPr>
    <w:rPr>
      <w:rFonts w:ascii="Times New Roman" w:hAnsi="Times New Roman"/>
      <w:szCs w:val="21"/>
    </w:rPr>
  </w:style>
  <w:style w:type="paragraph" w:styleId="847">
    <w:name w:val="toc 7"/>
    <w:basedOn w:val="833"/>
    <w:next w:val="833"/>
    <w:uiPriority w:val="99"/>
    <w:unhideWhenUsed/>
    <w:qFormat/>
    <w:pPr>
      <w:ind w:left="1260"/>
      <w:jc w:val="left"/>
    </w:pPr>
    <w:rPr>
      <w:rFonts w:ascii="Times New Roman" w:hAnsi="Times New Roman"/>
      <w:szCs w:val="21"/>
    </w:rPr>
  </w:style>
  <w:style w:type="paragraph" w:styleId="848">
    <w:name w:val="Document Map"/>
    <w:basedOn w:val="833"/>
    <w:link w:val="891"/>
    <w:uiPriority w:val="99"/>
    <w:unhideWhenUsed/>
    <w:qFormat/>
    <w:pPr>
      <w:shd w:val="clear" w:color="auto" w:fill="000080"/>
    </w:pPr>
    <w:rPr>
      <w:rFonts w:ascii="Times New Roman" w:hAnsi="Times New Roman"/>
      <w:szCs w:val="21"/>
    </w:rPr>
  </w:style>
  <w:style w:type="paragraph" w:styleId="849">
    <w:name w:val="annotation text"/>
    <w:basedOn w:val="833"/>
    <w:link w:val="892"/>
    <w:uiPriority w:val="99"/>
    <w:unhideWhenUsed/>
    <w:qFormat/>
    <w:pPr>
      <w:jc w:val="left"/>
    </w:pPr>
  </w:style>
  <w:style w:type="paragraph" w:styleId="850">
    <w:name w:val="Body Text 3"/>
    <w:basedOn w:val="833"/>
    <w:link w:val="893"/>
    <w:uiPriority w:val="99"/>
    <w:unhideWhenUsed/>
    <w:qFormat/>
    <w:rPr>
      <w:rFonts w:ascii="仿宋_GB2312" w:hAnsi="Arial" w:eastAsia="仿宋_GB2312"/>
      <w:sz w:val="32"/>
      <w:szCs w:val="32"/>
    </w:rPr>
  </w:style>
  <w:style w:type="paragraph" w:styleId="851">
    <w:name w:val="Body Text"/>
    <w:basedOn w:val="833"/>
    <w:link w:val="894"/>
    <w:uiPriority w:val="99"/>
    <w:unhideWhenUsed/>
    <w:qFormat/>
    <w:rPr>
      <w:rFonts w:ascii="楷体_GB2312" w:hAnsi="Arial" w:eastAsia="楷体_GB2312"/>
      <w:sz w:val="28"/>
      <w:szCs w:val="28"/>
    </w:rPr>
  </w:style>
  <w:style w:type="paragraph" w:styleId="852">
    <w:name w:val="Body Text Indent"/>
    <w:basedOn w:val="833"/>
    <w:link w:val="895"/>
    <w:uiPriority w:val="99"/>
    <w:unhideWhenUsed/>
    <w:qFormat/>
    <w:pPr>
      <w:ind w:left="420"/>
      <w:spacing w:after="120"/>
    </w:pPr>
  </w:style>
  <w:style w:type="paragraph" w:styleId="853">
    <w:name w:val="List 2"/>
    <w:basedOn w:val="833"/>
    <w:uiPriority w:val="99"/>
    <w:unhideWhenUsed/>
    <w:qFormat/>
    <w:pPr>
      <w:ind w:left="100" w:hanging="200"/>
    </w:pPr>
    <w:rPr>
      <w:rFonts w:ascii="Times New Roman" w:hAnsi="Times New Roman"/>
      <w:szCs w:val="21"/>
    </w:rPr>
  </w:style>
  <w:style w:type="paragraph" w:styleId="854">
    <w:name w:val="toc 5"/>
    <w:basedOn w:val="833"/>
    <w:next w:val="833"/>
    <w:uiPriority w:val="99"/>
    <w:unhideWhenUsed/>
    <w:qFormat/>
    <w:pPr>
      <w:ind w:left="840"/>
      <w:jc w:val="left"/>
    </w:pPr>
    <w:rPr>
      <w:rFonts w:ascii="Times New Roman" w:hAnsi="Times New Roman"/>
      <w:szCs w:val="21"/>
    </w:rPr>
  </w:style>
  <w:style w:type="paragraph" w:styleId="855">
    <w:name w:val="toc 3"/>
    <w:basedOn w:val="833"/>
    <w:next w:val="833"/>
    <w:uiPriority w:val="99"/>
    <w:unhideWhenUsed/>
    <w:qFormat/>
    <w:pPr>
      <w:ind w:left="420"/>
      <w:jc w:val="left"/>
    </w:pPr>
    <w:rPr>
      <w:rFonts w:ascii="Times New Roman" w:hAnsi="Times New Roman"/>
      <w:i/>
      <w:iCs/>
      <w:szCs w:val="24"/>
    </w:rPr>
  </w:style>
  <w:style w:type="paragraph" w:styleId="856">
    <w:name w:val="Plain Text"/>
    <w:basedOn w:val="833"/>
    <w:link w:val="896"/>
    <w:uiPriority w:val="99"/>
    <w:unhideWhenUsed/>
    <w:qFormat/>
    <w:rPr>
      <w:rFonts w:ascii="宋体" w:hAnsi="Courier New" w:cs="Courier New"/>
      <w:szCs w:val="21"/>
    </w:rPr>
  </w:style>
  <w:style w:type="paragraph" w:styleId="857">
    <w:name w:val="toc 8"/>
    <w:basedOn w:val="833"/>
    <w:next w:val="833"/>
    <w:uiPriority w:val="99"/>
    <w:unhideWhenUsed/>
    <w:qFormat/>
    <w:pPr>
      <w:ind w:left="1470"/>
      <w:jc w:val="left"/>
    </w:pPr>
    <w:rPr>
      <w:rFonts w:ascii="Times New Roman" w:hAnsi="Times New Roman"/>
      <w:szCs w:val="21"/>
    </w:rPr>
  </w:style>
  <w:style w:type="paragraph" w:styleId="858">
    <w:name w:val="Date"/>
    <w:basedOn w:val="833"/>
    <w:next w:val="833"/>
    <w:link w:val="897"/>
    <w:uiPriority w:val="99"/>
    <w:unhideWhenUsed/>
    <w:qFormat/>
    <w:rPr>
      <w:rFonts w:ascii="Times New Roman" w:hAnsi="Times New Roman"/>
      <w:sz w:val="24"/>
      <w:szCs w:val="24"/>
    </w:rPr>
  </w:style>
  <w:style w:type="paragraph" w:styleId="859">
    <w:name w:val="Body Text Indent 2"/>
    <w:basedOn w:val="833"/>
    <w:link w:val="898"/>
    <w:uiPriority w:val="99"/>
    <w:unhideWhenUsed/>
    <w:qFormat/>
    <w:pPr>
      <w:ind w:left="630" w:firstLine="645"/>
    </w:pPr>
    <w:rPr>
      <w:rFonts w:ascii="Arial" w:hAnsi="Arial" w:eastAsia="仿宋_GB2312" w:cs="Arial"/>
      <w:sz w:val="32"/>
      <w:szCs w:val="32"/>
    </w:rPr>
  </w:style>
  <w:style w:type="paragraph" w:styleId="860">
    <w:name w:val="Balloon Text"/>
    <w:basedOn w:val="833"/>
    <w:link w:val="899"/>
    <w:uiPriority w:val="99"/>
    <w:unhideWhenUsed/>
    <w:qFormat/>
    <w:rPr>
      <w:rFonts w:ascii="Times New Roman" w:hAnsi="Times New Roman"/>
      <w:sz w:val="18"/>
      <w:szCs w:val="18"/>
    </w:rPr>
  </w:style>
  <w:style w:type="paragraph" w:styleId="861">
    <w:name w:val="Footer"/>
    <w:basedOn w:val="833"/>
    <w:link w:val="900"/>
    <w:uiPriority w:val="99"/>
    <w:unhideWhenUsed/>
    <w:qFormat/>
    <w:pPr>
      <w:jc w:val="left"/>
      <w:tabs>
        <w:tab w:val="center" w:pos="4153" w:leader="none"/>
        <w:tab w:val="right" w:pos="8306" w:leader="none"/>
      </w:tabs>
    </w:pPr>
    <w:rPr>
      <w:sz w:val="18"/>
      <w:szCs w:val="18"/>
    </w:rPr>
  </w:style>
  <w:style w:type="paragraph" w:styleId="862">
    <w:name w:val="Header"/>
    <w:basedOn w:val="833"/>
    <w:link w:val="9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33"/>
    <w:next w:val="833"/>
    <w:uiPriority w:val="99"/>
    <w:unhideWhenUsed/>
    <w:qFormat/>
    <w:pPr>
      <w:jc w:val="left"/>
      <w:spacing w:before="120" w:after="120" w:line="400" w:lineRule="exact"/>
      <w:tabs>
        <w:tab w:val="right" w:pos="8720" w:leader="dot"/>
      </w:tabs>
    </w:pPr>
    <w:rPr>
      <w:rFonts w:ascii="宋体" w:hAnsi="宋体"/>
      <w:caps/>
      <w:sz w:val="24"/>
      <w:szCs w:val="24"/>
    </w:rPr>
  </w:style>
  <w:style w:type="paragraph" w:styleId="864">
    <w:name w:val="toc 4"/>
    <w:basedOn w:val="833"/>
    <w:next w:val="833"/>
    <w:uiPriority w:val="99"/>
    <w:unhideWhenUsed/>
    <w:qFormat/>
    <w:pPr>
      <w:ind w:left="630"/>
      <w:jc w:val="left"/>
    </w:pPr>
    <w:rPr>
      <w:rFonts w:ascii="Times New Roman" w:hAnsi="Times New Roman"/>
      <w:szCs w:val="21"/>
    </w:rPr>
  </w:style>
  <w:style w:type="paragraph" w:styleId="865">
    <w:name w:val="List"/>
    <w:basedOn w:val="833"/>
    <w:uiPriority w:val="99"/>
    <w:unhideWhenUsed/>
    <w:qFormat/>
    <w:pPr>
      <w:ind w:left="200" w:hanging="200"/>
    </w:pPr>
    <w:rPr>
      <w:rFonts w:ascii="Times New Roman" w:hAnsi="Times New Roman"/>
      <w:szCs w:val="21"/>
    </w:rPr>
  </w:style>
  <w:style w:type="paragraph" w:styleId="866">
    <w:name w:val="toc 6"/>
    <w:basedOn w:val="833"/>
    <w:next w:val="833"/>
    <w:uiPriority w:val="99"/>
    <w:unhideWhenUsed/>
    <w:qFormat/>
    <w:pPr>
      <w:ind w:left="1050"/>
      <w:jc w:val="left"/>
    </w:pPr>
    <w:rPr>
      <w:rFonts w:ascii="Times New Roman" w:hAnsi="Times New Roman"/>
      <w:szCs w:val="21"/>
    </w:rPr>
  </w:style>
  <w:style w:type="paragraph" w:styleId="867">
    <w:name w:val="Body Text Indent 3"/>
    <w:basedOn w:val="833"/>
    <w:link w:val="902"/>
    <w:uiPriority w:val="99"/>
    <w:unhideWhenUsed/>
    <w:qFormat/>
    <w:pPr>
      <w:ind w:left="645" w:firstLine="645"/>
    </w:pPr>
    <w:rPr>
      <w:rFonts w:ascii="Arial" w:hAnsi="Arial" w:eastAsia="仿宋_GB2312" w:cs="Arial"/>
      <w:color w:val="ffff00"/>
      <w:sz w:val="32"/>
      <w:szCs w:val="32"/>
    </w:rPr>
  </w:style>
  <w:style w:type="paragraph" w:styleId="868">
    <w:name w:val="table of figures"/>
    <w:basedOn w:val="833"/>
    <w:next w:val="833"/>
    <w:uiPriority w:val="99"/>
    <w:unhideWhenUsed/>
    <w:qFormat/>
    <w:pPr>
      <w:ind w:left="840" w:hanging="420"/>
    </w:pPr>
    <w:rPr>
      <w:rFonts w:ascii="Times New Roman" w:hAnsi="Times New Roman"/>
      <w:szCs w:val="21"/>
    </w:rPr>
  </w:style>
  <w:style w:type="paragraph" w:styleId="869">
    <w:name w:val="toc 2"/>
    <w:basedOn w:val="833"/>
    <w:next w:val="833"/>
    <w:uiPriority w:val="99"/>
    <w:unhideWhenUsed/>
    <w:qFormat/>
    <w:pPr>
      <w:ind w:left="210"/>
      <w:jc w:val="left"/>
    </w:pPr>
    <w:rPr>
      <w:rFonts w:ascii="Times New Roman" w:hAnsi="Times New Roman"/>
      <w:smallCaps/>
      <w:szCs w:val="24"/>
    </w:rPr>
  </w:style>
  <w:style w:type="paragraph" w:styleId="870">
    <w:name w:val="toc 9"/>
    <w:basedOn w:val="833"/>
    <w:next w:val="833"/>
    <w:uiPriority w:val="99"/>
    <w:unhideWhenUsed/>
    <w:qFormat/>
    <w:pPr>
      <w:ind w:left="1680"/>
      <w:jc w:val="left"/>
    </w:pPr>
    <w:rPr>
      <w:rFonts w:ascii="Times New Roman" w:hAnsi="Times New Roman"/>
      <w:szCs w:val="21"/>
    </w:rPr>
  </w:style>
  <w:style w:type="paragraph" w:styleId="871">
    <w:name w:val="Body Text 2"/>
    <w:basedOn w:val="833"/>
    <w:link w:val="903"/>
    <w:uiPriority w:val="99"/>
    <w:unhideWhenUsed/>
    <w:qFormat/>
    <w:pPr>
      <w:jc w:val="center"/>
      <w:widowControl/>
    </w:pPr>
    <w:rPr>
      <w:rFonts w:ascii="楷体_GB2312" w:hAnsi="Times New Roman" w:eastAsia="楷体_GB2312"/>
      <w:sz w:val="28"/>
      <w:szCs w:val="28"/>
    </w:rPr>
  </w:style>
  <w:style w:type="paragraph" w:styleId="872">
    <w:name w:val="Normal (Web)"/>
    <w:basedOn w:val="833"/>
    <w:uiPriority w:val="99"/>
    <w:unhideWhenUsed/>
    <w:qFormat/>
    <w:pPr>
      <w:jc w:val="left"/>
      <w:spacing w:before="100" w:beforeAutospacing="1" w:after="100" w:afterAutospacing="1"/>
      <w:widowControl/>
    </w:pPr>
    <w:rPr>
      <w:rFonts w:ascii="宋体" w:hAnsi="宋体" w:cs="宋体"/>
      <w:sz w:val="24"/>
      <w:szCs w:val="24"/>
    </w:rPr>
  </w:style>
  <w:style w:type="paragraph" w:styleId="873">
    <w:name w:val="index 1"/>
    <w:basedOn w:val="833"/>
    <w:next w:val="833"/>
    <w:uiPriority w:val="99"/>
    <w:unhideWhenUsed/>
    <w:qFormat/>
    <w:pPr>
      <w:spacing w:line="240" w:lineRule="atLeast"/>
    </w:pPr>
    <w:rPr>
      <w:rFonts w:ascii="Times New Roman" w:hAnsi="Times New Roman"/>
      <w:b/>
      <w:bCs/>
      <w:szCs w:val="21"/>
    </w:rPr>
  </w:style>
  <w:style w:type="paragraph" w:styleId="874">
    <w:name w:val="annotation subject"/>
    <w:basedOn w:val="849"/>
    <w:next w:val="849"/>
    <w:link w:val="904"/>
    <w:uiPriority w:val="99"/>
    <w:unhideWhenUsed/>
    <w:qFormat/>
    <w:rPr>
      <w:rFonts w:ascii="Times New Roman" w:hAnsi="Times New Roman"/>
      <w:b/>
      <w:bCs/>
      <w:szCs w:val="21"/>
    </w:rPr>
  </w:style>
  <w:style w:type="paragraph" w:styleId="875">
    <w:name w:val="Body Text First Indent"/>
    <w:basedOn w:val="833"/>
    <w:link w:val="905"/>
    <w:uiPriority w:val="99"/>
    <w:unhideWhenUsed/>
    <w:qFormat/>
    <w:pPr>
      <w:ind w:firstLine="200"/>
      <w:spacing w:line="360" w:lineRule="auto"/>
    </w:pPr>
    <w:rPr>
      <w:rFonts w:ascii="仿宋_GB2312" w:hAnsi="Times New Roman" w:eastAsia="仿宋_GB2312"/>
      <w:sz w:val="30"/>
      <w:szCs w:val="30"/>
    </w:rPr>
  </w:style>
  <w:style w:type="paragraph" w:styleId="876">
    <w:name w:val="Body Text First Indent 2"/>
    <w:basedOn w:val="852"/>
    <w:link w:val="906"/>
    <w:uiPriority w:val="99"/>
    <w:unhideWhenUsed/>
    <w:qFormat/>
    <w:pPr>
      <w:ind w:left="0" w:firstLine="420"/>
      <w:spacing w:after="0" w:line="360" w:lineRule="auto"/>
    </w:pPr>
    <w:rPr>
      <w:rFonts w:ascii="宋体" w:hAnsi="宋体"/>
      <w:szCs w:val="20"/>
    </w:rPr>
  </w:style>
  <w:style w:type="table" w:styleId="877">
    <w:name w:val="Table Grid"/>
    <w:basedOn w:val="84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FollowedHyperlink"/>
    <w:uiPriority w:val="0"/>
    <w:unhideWhenUsed/>
    <w:qFormat/>
    <w:rPr>
      <w:color w:val="800080"/>
      <w:u w:val="single"/>
    </w:rPr>
  </w:style>
  <w:style w:type="character" w:styleId="879">
    <w:name w:val="Hyperlink"/>
    <w:uiPriority w:val="0"/>
    <w:unhideWhenUsed/>
    <w:qFormat/>
    <w:rPr>
      <w:color w:val="0000ff"/>
      <w:u w:val="single"/>
    </w:rPr>
  </w:style>
  <w:style w:type="character" w:styleId="880">
    <w:name w:val="annotation reference"/>
    <w:uiPriority w:val="0"/>
    <w:unhideWhenUsed/>
    <w:qFormat/>
    <w:rPr>
      <w:sz w:val="21"/>
      <w:szCs w:val="21"/>
    </w:rPr>
  </w:style>
  <w:style w:type="character" w:styleId="881" w:customStyle="1">
    <w:name w:val="标题 1 Char"/>
    <w:basedOn w:val="843"/>
    <w:link w:val="834"/>
    <w:uiPriority w:val="0"/>
    <w:qFormat/>
    <w:rPr>
      <w:rFonts w:ascii="楷体_GB2312" w:hAnsi="Times New Roman" w:eastAsia="楷体_GB2312" w:cs="Times New Roman"/>
      <w:sz w:val="28"/>
      <w:szCs w:val="28"/>
    </w:rPr>
  </w:style>
  <w:style w:type="character" w:styleId="882" w:customStyle="1">
    <w:name w:val="标题 2 Char"/>
    <w:basedOn w:val="843"/>
    <w:link w:val="835"/>
    <w:uiPriority w:val="0"/>
    <w:semiHidden/>
    <w:qFormat/>
    <w:rPr>
      <w:rFonts w:ascii="Arial" w:hAnsi="Arial" w:eastAsia="幼圆" w:cs="Arial"/>
      <w:b/>
      <w:bCs/>
      <w:sz w:val="44"/>
      <w:szCs w:val="44"/>
    </w:rPr>
  </w:style>
  <w:style w:type="character" w:styleId="883" w:customStyle="1">
    <w:name w:val="正文缩进 Char"/>
    <w:link w:val="845"/>
    <w:uiPriority w:val="99"/>
    <w:semiHidden/>
    <w:qFormat/>
    <w:rPr>
      <w:rFonts w:ascii="Calibri" w:hAnsi="Calibri" w:eastAsia="宋体" w:cs="Times New Roman"/>
      <w:sz w:val="20"/>
      <w:szCs w:val="21"/>
    </w:rPr>
  </w:style>
  <w:style w:type="character" w:styleId="884" w:customStyle="1">
    <w:name w:val="标题 3 Char"/>
    <w:basedOn w:val="843"/>
    <w:link w:val="836"/>
    <w:uiPriority w:val="0"/>
    <w:semiHidden/>
    <w:qFormat/>
    <w:rPr>
      <w:rFonts w:ascii="Times New Roman" w:hAnsi="Times New Roman" w:eastAsia="宋体" w:cs="Times New Roman"/>
      <w:b/>
      <w:bCs/>
      <w:sz w:val="32"/>
      <w:szCs w:val="32"/>
    </w:rPr>
  </w:style>
  <w:style w:type="character" w:styleId="885" w:customStyle="1">
    <w:name w:val="标题 4 Char"/>
    <w:basedOn w:val="843"/>
    <w:link w:val="837"/>
    <w:uiPriority w:val="0"/>
    <w:semiHidden/>
    <w:qFormat/>
    <w:rPr>
      <w:rFonts w:ascii="Arial" w:hAnsi="Arial" w:eastAsia="黑体" w:cs="Arial"/>
      <w:b/>
      <w:bCs/>
      <w:sz w:val="28"/>
      <w:szCs w:val="28"/>
    </w:rPr>
  </w:style>
  <w:style w:type="character" w:styleId="886" w:customStyle="1">
    <w:name w:val="标题 5 Char"/>
    <w:basedOn w:val="843"/>
    <w:link w:val="838"/>
    <w:uiPriority w:val="0"/>
    <w:semiHidden/>
    <w:qFormat/>
    <w:rPr>
      <w:rFonts w:ascii="宋体" w:hAnsi="Times New Roman" w:eastAsia="宋体" w:cs="Times New Roman"/>
      <w:color w:val="000000"/>
      <w:sz w:val="28"/>
      <w:szCs w:val="28"/>
    </w:rPr>
  </w:style>
  <w:style w:type="character" w:styleId="887" w:customStyle="1">
    <w:name w:val="标题 6 Char"/>
    <w:basedOn w:val="843"/>
    <w:link w:val="839"/>
    <w:uiPriority w:val="0"/>
    <w:semiHidden/>
    <w:qFormat/>
    <w:rPr>
      <w:rFonts w:ascii="Arial" w:hAnsi="Arial" w:eastAsia="黑体" w:cs="Times New Roman"/>
      <w:b/>
      <w:bCs/>
      <w:sz w:val="24"/>
      <w:szCs w:val="24"/>
    </w:rPr>
  </w:style>
  <w:style w:type="character" w:styleId="888" w:customStyle="1">
    <w:name w:val="标题 7 Char"/>
    <w:basedOn w:val="843"/>
    <w:link w:val="840"/>
    <w:uiPriority w:val="99"/>
    <w:semiHidden/>
    <w:qFormat/>
    <w:rPr>
      <w:rFonts w:ascii="Times New Roman" w:hAnsi="Times New Roman" w:eastAsia="宋体" w:cs="Times New Roman"/>
      <w:b/>
      <w:bCs/>
      <w:sz w:val="24"/>
      <w:szCs w:val="24"/>
    </w:rPr>
  </w:style>
  <w:style w:type="character" w:styleId="889" w:customStyle="1">
    <w:name w:val="标题 8 Char"/>
    <w:basedOn w:val="843"/>
    <w:link w:val="841"/>
    <w:uiPriority w:val="99"/>
    <w:semiHidden/>
    <w:qFormat/>
    <w:rPr>
      <w:rFonts w:ascii="Arial" w:hAnsi="Arial" w:eastAsia="黑体" w:cs="Times New Roman"/>
      <w:sz w:val="24"/>
      <w:szCs w:val="24"/>
    </w:rPr>
  </w:style>
  <w:style w:type="character" w:styleId="890" w:customStyle="1">
    <w:name w:val="标题 9 Char"/>
    <w:basedOn w:val="843"/>
    <w:link w:val="842"/>
    <w:uiPriority w:val="99"/>
    <w:semiHidden/>
    <w:qFormat/>
    <w:rPr>
      <w:rFonts w:ascii="Arial" w:hAnsi="Arial" w:eastAsia="黑体" w:cs="Times New Roman"/>
      <w:szCs w:val="21"/>
    </w:rPr>
  </w:style>
  <w:style w:type="character" w:styleId="891" w:customStyle="1">
    <w:name w:val="文档结构图 Char"/>
    <w:basedOn w:val="843"/>
    <w:link w:val="848"/>
    <w:uiPriority w:val="99"/>
    <w:semiHidden/>
    <w:qFormat/>
    <w:rPr>
      <w:rFonts w:ascii="Times New Roman" w:hAnsi="Times New Roman" w:eastAsia="宋体" w:cs="Times New Roman"/>
      <w:szCs w:val="21"/>
      <w:shd w:val="clear" w:color="auto" w:fill="000080"/>
    </w:rPr>
  </w:style>
  <w:style w:type="character" w:styleId="892" w:customStyle="1">
    <w:name w:val="批注文字 Char"/>
    <w:basedOn w:val="843"/>
    <w:link w:val="849"/>
    <w:uiPriority w:val="99"/>
    <w:semiHidden/>
    <w:qFormat/>
    <w:rPr>
      <w:rFonts w:ascii="Calibri" w:hAnsi="Calibri" w:eastAsia="宋体" w:cs="Times New Roman"/>
    </w:rPr>
  </w:style>
  <w:style w:type="character" w:styleId="893" w:customStyle="1">
    <w:name w:val="正文文本 3 Char"/>
    <w:basedOn w:val="843"/>
    <w:link w:val="850"/>
    <w:uiPriority w:val="99"/>
    <w:semiHidden/>
    <w:qFormat/>
    <w:rPr>
      <w:rFonts w:ascii="仿宋_GB2312" w:hAnsi="Arial" w:eastAsia="仿宋_GB2312" w:cs="Times New Roman"/>
      <w:sz w:val="32"/>
      <w:szCs w:val="32"/>
    </w:rPr>
  </w:style>
  <w:style w:type="character" w:styleId="894" w:customStyle="1">
    <w:name w:val="正文文本 Char"/>
    <w:basedOn w:val="843"/>
    <w:link w:val="851"/>
    <w:uiPriority w:val="99"/>
    <w:semiHidden/>
    <w:qFormat/>
    <w:rPr>
      <w:rFonts w:ascii="楷体_GB2312" w:hAnsi="Arial" w:eastAsia="楷体_GB2312" w:cs="Times New Roman"/>
      <w:sz w:val="28"/>
      <w:szCs w:val="28"/>
    </w:rPr>
  </w:style>
  <w:style w:type="character" w:styleId="895" w:customStyle="1">
    <w:name w:val="正文文本缩进 Char"/>
    <w:basedOn w:val="843"/>
    <w:link w:val="852"/>
    <w:uiPriority w:val="99"/>
    <w:semiHidden/>
    <w:qFormat/>
    <w:rPr>
      <w:rFonts w:ascii="Calibri" w:hAnsi="Calibri" w:eastAsia="宋体" w:cs="Times New Roman"/>
    </w:rPr>
  </w:style>
  <w:style w:type="character" w:styleId="896" w:customStyle="1">
    <w:name w:val="纯文本 Char"/>
    <w:basedOn w:val="843"/>
    <w:link w:val="856"/>
    <w:uiPriority w:val="0"/>
    <w:qFormat/>
    <w:rPr>
      <w:rFonts w:ascii="宋体" w:hAnsi="Courier New" w:eastAsia="宋体" w:cs="Courier New"/>
      <w:szCs w:val="21"/>
    </w:rPr>
  </w:style>
  <w:style w:type="character" w:styleId="897" w:customStyle="1">
    <w:name w:val="日期 Char"/>
    <w:basedOn w:val="843"/>
    <w:link w:val="858"/>
    <w:uiPriority w:val="99"/>
    <w:semiHidden/>
    <w:qFormat/>
    <w:rPr>
      <w:rFonts w:ascii="Times New Roman" w:hAnsi="Times New Roman" w:eastAsia="宋体" w:cs="Times New Roman"/>
      <w:sz w:val="24"/>
      <w:szCs w:val="24"/>
    </w:rPr>
  </w:style>
  <w:style w:type="character" w:styleId="898" w:customStyle="1">
    <w:name w:val="正文文本缩进 2 Char"/>
    <w:basedOn w:val="843"/>
    <w:link w:val="859"/>
    <w:uiPriority w:val="99"/>
    <w:semiHidden/>
    <w:qFormat/>
    <w:rPr>
      <w:rFonts w:ascii="Arial" w:hAnsi="Arial" w:eastAsia="仿宋_GB2312" w:cs="Arial"/>
      <w:sz w:val="32"/>
      <w:szCs w:val="32"/>
    </w:rPr>
  </w:style>
  <w:style w:type="character" w:styleId="899" w:customStyle="1">
    <w:name w:val="批注框文本 Char"/>
    <w:basedOn w:val="843"/>
    <w:link w:val="860"/>
    <w:uiPriority w:val="99"/>
    <w:semiHidden/>
    <w:qFormat/>
    <w:rPr>
      <w:rFonts w:ascii="Times New Roman" w:hAnsi="Times New Roman" w:eastAsia="宋体" w:cs="Times New Roman"/>
      <w:sz w:val="18"/>
      <w:szCs w:val="18"/>
    </w:rPr>
  </w:style>
  <w:style w:type="character" w:styleId="900" w:customStyle="1">
    <w:name w:val="页脚 Char"/>
    <w:basedOn w:val="843"/>
    <w:link w:val="861"/>
    <w:uiPriority w:val="99"/>
    <w:qFormat/>
    <w:rPr>
      <w:sz w:val="18"/>
      <w:szCs w:val="18"/>
    </w:rPr>
  </w:style>
  <w:style w:type="character" w:styleId="901" w:customStyle="1">
    <w:name w:val="页眉 Char"/>
    <w:basedOn w:val="843"/>
    <w:link w:val="862"/>
    <w:uiPriority w:val="99"/>
    <w:qFormat/>
    <w:rPr>
      <w:sz w:val="18"/>
      <w:szCs w:val="18"/>
    </w:rPr>
  </w:style>
  <w:style w:type="character" w:styleId="902" w:customStyle="1">
    <w:name w:val="正文文本缩进 3 Char"/>
    <w:basedOn w:val="843"/>
    <w:link w:val="867"/>
    <w:uiPriority w:val="99"/>
    <w:semiHidden/>
    <w:qFormat/>
    <w:rPr>
      <w:rFonts w:ascii="Arial" w:hAnsi="Arial" w:eastAsia="仿宋_GB2312" w:cs="Arial"/>
      <w:color w:val="ffff00"/>
      <w:sz w:val="32"/>
      <w:szCs w:val="32"/>
    </w:rPr>
  </w:style>
  <w:style w:type="character" w:styleId="903" w:customStyle="1">
    <w:name w:val="正文文本 2 Char"/>
    <w:basedOn w:val="843"/>
    <w:link w:val="871"/>
    <w:uiPriority w:val="99"/>
    <w:semiHidden/>
    <w:qFormat/>
    <w:rPr>
      <w:rFonts w:ascii="楷体_GB2312" w:hAnsi="Times New Roman" w:eastAsia="楷体_GB2312" w:cs="Times New Roman"/>
      <w:sz w:val="28"/>
      <w:szCs w:val="28"/>
    </w:rPr>
  </w:style>
  <w:style w:type="character" w:styleId="904" w:customStyle="1">
    <w:name w:val="批注主题 Char"/>
    <w:basedOn w:val="892"/>
    <w:link w:val="874"/>
    <w:uiPriority w:val="99"/>
    <w:semiHidden/>
    <w:qFormat/>
    <w:rPr>
      <w:rFonts w:ascii="Times New Roman" w:hAnsi="Times New Roman" w:eastAsia="宋体" w:cs="Times New Roman"/>
      <w:b/>
      <w:bCs/>
      <w:szCs w:val="21"/>
    </w:rPr>
  </w:style>
  <w:style w:type="character" w:styleId="905" w:customStyle="1">
    <w:name w:val="正文首行缩进 Char"/>
    <w:basedOn w:val="894"/>
    <w:link w:val="875"/>
    <w:uiPriority w:val="99"/>
    <w:semiHidden/>
    <w:qFormat/>
    <w:rPr>
      <w:rFonts w:ascii="仿宋_GB2312" w:hAnsi="Times New Roman" w:eastAsia="仿宋_GB2312" w:cs="Times New Roman"/>
      <w:sz w:val="30"/>
      <w:szCs w:val="30"/>
    </w:rPr>
  </w:style>
  <w:style w:type="character" w:styleId="906" w:customStyle="1">
    <w:name w:val="正文首行缩进 2 Char"/>
    <w:basedOn w:val="895"/>
    <w:link w:val="876"/>
    <w:uiPriority w:val="99"/>
    <w:semiHidden/>
    <w:qFormat/>
    <w:rPr>
      <w:rFonts w:ascii="宋体" w:hAnsi="宋体" w:eastAsia="宋体" w:cs="Times New Roman"/>
      <w:szCs w:val="20"/>
    </w:rPr>
  </w:style>
  <w:style w:type="paragraph" w:styleId="907">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908" w:customStyle="1">
    <w:name w:val="Revision"/>
    <w:uiPriority w:val="99"/>
    <w:semiHidden/>
    <w:qFormat/>
    <w:rPr>
      <w:rFonts w:ascii="Times New Roman" w:hAnsi="Times New Roman" w:eastAsia="宋体" w:cs="Times New Roman"/>
      <w:sz w:val="21"/>
      <w:szCs w:val="21"/>
      <w:lang w:val="en-US" w:eastAsia="zh-CN" w:bidi="ar-SA"/>
    </w:rPr>
  </w:style>
  <w:style w:type="paragraph" w:styleId="909">
    <w:name w:val="List Paragraph"/>
    <w:basedOn w:val="833"/>
    <w:uiPriority w:val="99"/>
    <w:qFormat/>
    <w:pPr>
      <w:contextualSpacing/>
      <w:ind w:left="720"/>
      <w:jc w:val="left"/>
      <w:widowControl/>
    </w:pPr>
    <w:rPr>
      <w:sz w:val="24"/>
      <w:szCs w:val="24"/>
      <w:lang w:eastAsia="en-US" w:bidi="en-US"/>
    </w:rPr>
  </w:style>
  <w:style w:type="paragraph" w:styleId="910" w:customStyle="1">
    <w:name w:val="Body Text(ch)"/>
    <w:basedOn w:val="833"/>
    <w:next w:val="851"/>
    <w:uiPriority w:val="99"/>
    <w:qFormat/>
    <w:pPr>
      <w:spacing w:after="120"/>
    </w:pPr>
    <w:rPr>
      <w:rFonts w:ascii="宋体" w:hAnsi="Arial"/>
      <w:bCs/>
      <w:iCs/>
      <w:szCs w:val="24"/>
    </w:rPr>
  </w:style>
  <w:style w:type="paragraph" w:styleId="911" w:customStyle="1">
    <w:name w:val="xl27"/>
    <w:basedOn w:val="83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12" w:customStyle="1">
    <w:name w:val="二级目录 Char"/>
    <w:link w:val="913"/>
    <w:uiPriority w:val="0"/>
    <w:qFormat/>
    <w:rPr>
      <w:b/>
      <w:sz w:val="30"/>
      <w:szCs w:val="28"/>
    </w:rPr>
  </w:style>
  <w:style w:type="paragraph" w:styleId="913" w:customStyle="1">
    <w:name w:val="二级目录"/>
    <w:next w:val="833"/>
    <w:link w:val="91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paragraph" w:styleId="914" w:customStyle="1">
    <w:name w:val="xl26"/>
    <w:basedOn w:val="83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5" w:customStyle="1">
    <w:name w:val="Char"/>
    <w:basedOn w:val="848"/>
    <w:uiPriority w:val="99"/>
    <w:qFormat/>
    <w:rPr>
      <w:rFonts w:ascii="Tahoma" w:hAnsi="Tahoma"/>
      <w:sz w:val="24"/>
      <w:szCs w:val="24"/>
    </w:rPr>
  </w:style>
  <w:style w:type="paragraph" w:styleId="916" w:customStyle="1">
    <w:name w:val="普通正文"/>
    <w:basedOn w:val="833"/>
    <w:uiPriority w:val="0"/>
    <w:qFormat/>
    <w:pPr>
      <w:ind w:firstLine="480"/>
      <w:jc w:val="left"/>
      <w:spacing w:before="120" w:after="120" w:line="360" w:lineRule="auto"/>
    </w:pPr>
    <w:rPr>
      <w:rFonts w:ascii="Arial" w:hAnsi="Arial"/>
      <w:sz w:val="24"/>
      <w:szCs w:val="24"/>
    </w:rPr>
  </w:style>
  <w:style w:type="paragraph" w:styleId="917" w:customStyle="1">
    <w:name w:val="table_lines"/>
    <w:basedOn w:val="833"/>
    <w:uiPriority w:val="99"/>
    <w:qFormat/>
    <w:pPr>
      <w:jc w:val="left"/>
      <w:widowControl/>
    </w:pPr>
    <w:rPr>
      <w:rFonts w:ascii="Times New Roman" w:hAnsi="Times New Roman"/>
      <w:sz w:val="20"/>
      <w:szCs w:val="20"/>
      <w:lang w:val="de-DE" w:eastAsia="de-DE"/>
    </w:rPr>
  </w:style>
  <w:style w:type="paragraph" w:styleId="918"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919" w:customStyle="1">
    <w:name w:val="font7"/>
    <w:basedOn w:val="833"/>
    <w:uiPriority w:val="99"/>
    <w:qFormat/>
    <w:pPr>
      <w:jc w:val="left"/>
      <w:spacing w:before="100" w:beforeAutospacing="1" w:after="100" w:afterAutospacing="1"/>
      <w:widowControl/>
    </w:pPr>
    <w:rPr>
      <w:rFonts w:ascii="宋体" w:hAnsi="宋体"/>
      <w:sz w:val="18"/>
      <w:szCs w:val="18"/>
    </w:rPr>
  </w:style>
  <w:style w:type="paragraph" w:styleId="920" w:customStyle="1">
    <w:name w:val="Char Char Char Char"/>
    <w:basedOn w:val="848"/>
    <w:uiPriority w:val="99"/>
    <w:qFormat/>
    <w:pPr>
      <w:spacing w:line="360" w:lineRule="auto"/>
    </w:pPr>
    <w:rPr>
      <w:rFonts w:ascii="Tahoma" w:hAnsi="Tahoma"/>
      <w:sz w:val="24"/>
      <w:szCs w:val="24"/>
    </w:rPr>
  </w:style>
  <w:style w:type="paragraph" w:styleId="921" w:customStyle="1">
    <w:name w:val="4"/>
    <w:basedOn w:val="833"/>
    <w:next w:val="867"/>
    <w:uiPriority w:val="99"/>
    <w:qFormat/>
    <w:pPr>
      <w:ind w:firstLine="420"/>
      <w:spacing w:line="360" w:lineRule="auto"/>
    </w:pPr>
    <w:rPr>
      <w:rFonts w:ascii="Times New Roman" w:hAnsi="Times New Roman"/>
      <w:color w:val="ff0000"/>
      <w:sz w:val="24"/>
      <w:szCs w:val="24"/>
    </w:rPr>
  </w:style>
  <w:style w:type="paragraph" w:styleId="922" w:customStyle="1">
    <w:name w:val="普通 (Web)"/>
    <w:basedOn w:val="833"/>
    <w:uiPriority w:val="99"/>
    <w:qFormat/>
    <w:pPr>
      <w:jc w:val="left"/>
      <w:spacing w:before="100" w:beforeAutospacing="1" w:after="100" w:afterAutospacing="1"/>
      <w:widowControl/>
    </w:pPr>
    <w:rPr>
      <w:rFonts w:ascii="宋体" w:hAnsi="宋体"/>
      <w:sz w:val="24"/>
      <w:szCs w:val="24"/>
    </w:rPr>
  </w:style>
  <w:style w:type="paragraph" w:styleId="923" w:customStyle="1">
    <w:name w:val="Char Char Char Char Char Char Char Char Char Char"/>
    <w:basedOn w:val="833"/>
    <w:uiPriority w:val="99"/>
    <w:qFormat/>
    <w:pPr>
      <w:spacing w:line="360" w:lineRule="auto"/>
    </w:pPr>
    <w:rPr>
      <w:rFonts w:ascii="Times New Roman" w:hAnsi="Times New Roman"/>
      <w:sz w:val="24"/>
      <w:szCs w:val="20"/>
    </w:rPr>
  </w:style>
  <w:style w:type="paragraph" w:styleId="924" w:customStyle="1">
    <w:name w:val="样式1"/>
    <w:basedOn w:val="833"/>
    <w:uiPriority w:val="99"/>
    <w:qFormat/>
    <w:pPr>
      <w:numPr>
        <w:ilvl w:val="0"/>
        <w:numId w:val="3"/>
      </w:numPr>
    </w:pPr>
    <w:rPr>
      <w:rFonts w:ascii="宋体" w:hAnsi="宋体"/>
      <w:szCs w:val="21"/>
    </w:rPr>
  </w:style>
  <w:style w:type="paragraph" w:styleId="925" w:customStyle="1">
    <w:name w:val="font6"/>
    <w:basedOn w:val="833"/>
    <w:uiPriority w:val="99"/>
    <w:qFormat/>
    <w:pPr>
      <w:jc w:val="left"/>
      <w:spacing w:before="100" w:beforeAutospacing="1" w:after="100" w:afterAutospacing="1"/>
      <w:widowControl/>
    </w:pPr>
    <w:rPr>
      <w:rFonts w:ascii="宋体" w:hAnsi="宋体"/>
      <w:sz w:val="28"/>
      <w:szCs w:val="28"/>
      <w:u w:val="single"/>
    </w:rPr>
  </w:style>
  <w:style w:type="paragraph" w:styleId="926" w:customStyle="1">
    <w:name w:val="xl25"/>
    <w:basedOn w:val="833"/>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7" w:customStyle="1">
    <w:name w:val="图标"/>
    <w:basedOn w:val="833"/>
    <w:next w:val="833"/>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28" w:customStyle="1">
    <w:name w:val="标题3"/>
    <w:basedOn w:val="833"/>
    <w:next w:val="833"/>
    <w:uiPriority w:val="99"/>
    <w:qFormat/>
    <w:pPr>
      <w:ind w:firstLine="624"/>
      <w:spacing w:line="590" w:lineRule="atLeast"/>
    </w:pPr>
    <w:rPr>
      <w:rFonts w:ascii="方正黑体_GBK" w:hAnsi="Times New Roman"/>
      <w:sz w:val="32"/>
      <w:szCs w:val="32"/>
    </w:rPr>
  </w:style>
  <w:style w:type="paragraph" w:styleId="929" w:customStyle="1">
    <w:name w:val="xl24"/>
    <w:basedOn w:val="83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9"/>
    <w:basedOn w:val="833"/>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1" w:customStyle="1">
    <w:name w:val="Char Char Char Char Char Char Char Char"/>
    <w:basedOn w:val="833"/>
    <w:uiPriority w:val="99"/>
    <w:qFormat/>
    <w:pPr>
      <w:jc w:val="left"/>
      <w:spacing w:after="160" w:line="240" w:lineRule="exact"/>
      <w:widowControl/>
    </w:pPr>
    <w:rPr>
      <w:rFonts w:ascii="Verdana" w:hAnsi="Verdana"/>
      <w:sz w:val="20"/>
      <w:szCs w:val="20"/>
      <w:lang w:eastAsia="en-US"/>
    </w:rPr>
  </w:style>
  <w:style w:type="character" w:styleId="932" w:customStyle="1">
    <w:name w:val="列出段落 Char"/>
    <w:link w:val="933"/>
    <w:uiPriority w:val="0"/>
    <w:qFormat/>
    <w:rPr>
      <w:sz w:val="24"/>
      <w:szCs w:val="24"/>
      <w:lang w:eastAsia="en-US" w:bidi="en-US"/>
    </w:rPr>
  </w:style>
  <w:style w:type="paragraph" w:styleId="933" w:customStyle="1">
    <w:name w:val="列出段落1"/>
    <w:basedOn w:val="833"/>
    <w:link w:val="932"/>
    <w:uiPriority w:val="0"/>
    <w:qFormat/>
    <w:pPr>
      <w:contextualSpacing/>
      <w:ind w:left="720"/>
      <w:jc w:val="left"/>
      <w:widowControl/>
    </w:pPr>
    <w:rPr>
      <w:rFonts w:ascii="Calibri" w:hAnsi="Calibri" w:eastAsia="宋体" w:cs="Times New Roman"/>
      <w:sz w:val="24"/>
      <w:szCs w:val="24"/>
      <w:lang w:eastAsia="en-US" w:bidi="en-US"/>
    </w:rPr>
  </w:style>
  <w:style w:type="paragraph" w:styleId="934" w:customStyle="1">
    <w:name w:val="xl28"/>
    <w:basedOn w:val="83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5" w:customStyle="1">
    <w:name w:val="xl30"/>
    <w:basedOn w:val="833"/>
    <w:uiPriority w:val="99"/>
    <w:qFormat/>
    <w:pPr>
      <w:jc w:val="center"/>
      <w:spacing w:before="100" w:beforeAutospacing="1" w:after="100" w:afterAutospacing="1"/>
      <w:widowControl/>
    </w:pPr>
    <w:rPr>
      <w:rFonts w:ascii="宋体" w:hAnsi="宋体"/>
      <w:b/>
      <w:bCs/>
      <w:sz w:val="36"/>
      <w:szCs w:val="36"/>
    </w:rPr>
  </w:style>
  <w:style w:type="paragraph" w:styleId="936" w:customStyle="1">
    <w:name w:val="table_1stline"/>
    <w:basedOn w:val="833"/>
    <w:uiPriority w:val="99"/>
    <w:qFormat/>
    <w:pPr>
      <w:jc w:val="left"/>
      <w:spacing w:before="120"/>
      <w:widowControl/>
    </w:pPr>
    <w:rPr>
      <w:rFonts w:ascii="Times New Roman" w:hAnsi="Times New Roman"/>
      <w:bCs/>
      <w:sz w:val="20"/>
      <w:szCs w:val="20"/>
      <w:lang w:val="de-DE" w:eastAsia="de-DE"/>
    </w:rPr>
  </w:style>
  <w:style w:type="paragraph" w:styleId="937" w:customStyle="1">
    <w:name w:val="font5"/>
    <w:basedOn w:val="833"/>
    <w:uiPriority w:val="99"/>
    <w:qFormat/>
    <w:pPr>
      <w:jc w:val="left"/>
      <w:spacing w:before="100" w:beforeAutospacing="1" w:after="100" w:afterAutospacing="1"/>
      <w:widowControl/>
    </w:pPr>
    <w:rPr>
      <w:rFonts w:ascii="宋体" w:hAnsi="宋体"/>
      <w:sz w:val="28"/>
      <w:szCs w:val="28"/>
    </w:rPr>
  </w:style>
  <w:style w:type="paragraph" w:styleId="938" w:customStyle="1">
    <w:name w:val="标题1"/>
    <w:basedOn w:val="833"/>
    <w:next w:val="833"/>
    <w:uiPriority w:val="99"/>
    <w:qFormat/>
    <w:pPr>
      <w:jc w:val="center"/>
      <w:spacing w:line="700" w:lineRule="atLeast"/>
      <w:tabs>
        <w:tab w:val="left" w:pos="9193" w:leader="none"/>
        <w:tab w:val="left" w:pos="9827" w:leader="none"/>
      </w:tabs>
    </w:pPr>
    <w:rPr>
      <w:rFonts w:ascii="方正小标宋_GBK" w:hAnsi="Times New Roman"/>
      <w:sz w:val="44"/>
      <w:szCs w:val="20"/>
    </w:rPr>
  </w:style>
  <w:style w:type="paragraph" w:styleId="939" w:customStyle="1">
    <w:name w:val="AONormal"/>
    <w:uiPriority w:val="99"/>
    <w:qFormat/>
    <w:pPr>
      <w:ind w:firstLine="440"/>
      <w:spacing w:line="400" w:lineRule="exact"/>
    </w:pPr>
    <w:rPr>
      <w:rFonts w:ascii="华文楷体" w:hAnsi="华文楷体" w:eastAsia="华文楷体" w:cs="华文楷体"/>
      <w:sz w:val="22"/>
      <w:szCs w:val="21"/>
      <w:lang w:val="en-US" w:eastAsia="zh-CN" w:bidi="ar-SA"/>
    </w:rPr>
  </w:style>
  <w:style w:type="character" w:styleId="940" w:customStyle="1">
    <w:name w:val="font5 Char"/>
    <w:uiPriority w:val="0"/>
    <w:qFormat/>
    <w:rPr>
      <w:rFonts w:hint="eastAsia" w:ascii="宋体" w:hAnsi="宋体" w:eastAsia="宋体"/>
      <w:sz w:val="28"/>
      <w:szCs w:val="28"/>
      <w:lang w:val="en-US" w:eastAsia="zh-CN" w:bidi="ar-SA"/>
    </w:rPr>
  </w:style>
  <w:style w:type="paragraph" w:styleId="941" w:customStyle="1">
    <w:name w:val="纯文本1"/>
    <w:basedOn w:val="833"/>
    <w:uiPriority w:val="0"/>
    <w:qFormat/>
    <w:rPr>
      <w:rFonts w:ascii="宋体" w:hAnsi="Courier New" w:cs="Courier New"/>
      <w:szCs w:val="21"/>
    </w:rPr>
  </w:style>
  <w:style w:type="paragraph" w:styleId="942" w:customStyle="1">
    <w:name w:val="宋体正文"/>
    <w:basedOn w:val="833"/>
    <w:uiPriority w:val="0"/>
    <w:qFormat/>
    <w:pPr>
      <w:ind w:firstLine="200"/>
      <w:jc w:val="left"/>
      <w:spacing w:line="360" w:lineRule="auto"/>
    </w:pPr>
    <w:rPr>
      <w:rFonts w:ascii="宋体" w:hAnsi="宋体"/>
      <w:sz w:val="24"/>
      <w:szCs w:val="24"/>
      <w:lang w:val="zh-CN"/>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竞争性磋商（模板1）.wpt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konodioda</dc:creator>
  <cp:lastModifiedBy>夏文涛</cp:lastModifiedBy>
  <cp:revision>159</cp:revision>
  <dcterms:created xsi:type="dcterms:W3CDTF">2025-12-04T06:33:00Z</dcterms:created>
  <dcterms:modified xsi:type="dcterms:W3CDTF">2026-01-12T01:20:16Z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eyJoZGlkIjoiZjg4ODJkNGI4ZDQ0NWUyYzU5YTEyNDYwY2Y1Njc4N2IiLCJ1c2VySWQiOiIxMjM4MjQ4NTIxIn0=</vt:lpwstr>
  </property>
  <property fmtid="{D5CDD505-2E9C-101B-9397-08002B2CF9AE}" pid="3" name="KSOProductBuildVer">
    <vt:lpwstr>2052-12.1.0.24034</vt:lpwstr>
  </property>
  <property fmtid="{D5CDD505-2E9C-101B-9397-08002B2CF9AE}" pid="4" name="ICV">
    <vt:lpwstr>C2E06B7E2A2D42FDB832A9ECE9B42EA0_11</vt:lpwstr>
  </property>
</Properties>
</file>